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r>
        <w:rPr>
          <w:rFonts w:ascii="Calibri" w:cs="Calibri" w:eastAsia="Calibri" w:hAnsi="Calibri"/>
        </w:rPr>
        <w:t xml:space="preserve"/>
      </w:r>
    </w:p>
    <w:p>
      <w:pPr>
        <w:spacing w:after="200"/>
      </w:pPr>
      <w:r>
        <w:rPr>
          <w:rFonts w:ascii="Calibri" w:cs="Calibri" w:eastAsia="Calibri" w:hAnsi="Calibri"/>
          <w:b/>
          <w:bCs/>
          <w:color w:val="1068D9"/>
          <w:spacing w:val="40"/>
          <w:sz w:val="22"/>
          <w:szCs w:val="22"/>
        </w:rPr>
        <w:t xml:space="preserve">VULNERABILITY ASSESSMENT REPORT</w:t>
      </w:r>
    </w:p>
    <w:p>
      <w:pPr>
        <w:spacing w:after="120"/>
      </w:pPr>
      <w:r>
        <w:rPr>
          <w:rFonts w:ascii="Calibri" w:cs="Calibri" w:eastAsia="Calibri" w:hAnsi="Calibri"/>
          <w:b/>
          <w:bCs/>
          <w:color w:val="1B2F5D"/>
          <w:sz w:val="56"/>
          <w:szCs w:val="56"/>
        </w:rPr>
        <w:t xml:space="preserve">[Client name]</w:t>
      </w:r>
    </w:p>
    <w:p>
      <w:pPr>
        <w:spacing w:after="600"/>
      </w:pPr>
      <w:r>
        <w:rPr>
          <w:rFonts w:ascii="Calibri" w:cs="Calibri" w:eastAsia="Calibri" w:hAnsi="Calibri"/>
          <w:color w:val="5A6A85"/>
          <w:sz w:val="28"/>
          <w:szCs w:val="28"/>
        </w:rPr>
        <w:t xml:space="preserve">[Scope in a few words, for example: internal and external network, 3 sites]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960"/>
      </w:tblGrid>
      <w:tr>
        <w:trPr>
          <w:cantSplit/>
          <w:tblHeader w:val="false"/>
        </w:trPr>
        <w:tc>
          <w:tcPr>
            <w:tcW w:type="dxa" w:w="24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Scan dates</w:t>
            </w:r>
          </w:p>
        </w:tc>
        <w:tc>
          <w:tcPr>
            <w:tcW w:type="dxa" w:w="69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[Start date] to [end date]</w:t>
            </w:r>
          </w:p>
        </w:tc>
      </w:tr>
      <w:tr>
        <w:trPr>
          <w:cantSplit/>
          <w:tblHeader w:val="false"/>
        </w:trPr>
        <w:tc>
          <w:tcPr>
            <w:tcW w:type="dxa" w:w="24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Date issued</w:t>
            </w:r>
          </w:p>
        </w:tc>
        <w:tc>
          <w:tcPr>
            <w:tcW w:type="dxa" w:w="69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r>
      <w:tr>
        <w:trPr>
          <w:cantSplit/>
          <w:tblHeader w:val="false"/>
        </w:trPr>
        <w:tc>
          <w:tcPr>
            <w:tcW w:type="dxa" w:w="24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Version</w:t>
            </w:r>
          </w:p>
        </w:tc>
        <w:tc>
          <w:tcPr>
            <w:tcW w:type="dxa" w:w="69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[1.0]</w:t>
            </w:r>
          </w:p>
        </w:tc>
      </w:tr>
      <w:tr>
        <w:trPr>
          <w:cantSplit/>
          <w:tblHeader w:val="false"/>
        </w:trPr>
        <w:tc>
          <w:tcPr>
            <w:tcW w:type="dxa" w:w="24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Classification</w:t>
            </w:r>
          </w:p>
        </w:tc>
        <w:tc>
          <w:tcPr>
            <w:tcW w:type="dxa" w:w="69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Confidential</w:t>
            </w:r>
          </w:p>
        </w:tc>
      </w:tr>
      <w:tr>
        <w:trPr>
          <w:cantSplit/>
          <w:tblHeader w:val="false"/>
        </w:trPr>
        <w:tc>
          <w:tcPr>
            <w:tcW w:type="dxa" w:w="24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Prepared by</w:t>
            </w:r>
          </w:p>
        </w:tc>
        <w:tc>
          <w:tcPr>
            <w:tcW w:type="dxa" w:w="69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[Firm or team], [lead analyst name]</w:t>
            </w:r>
          </w:p>
        </w:tc>
      </w:tr>
      <w:tr>
        <w:trPr>
          <w:cantSplit/>
          <w:tblHeader w:val="false"/>
        </w:trPr>
        <w:tc>
          <w:tcPr>
            <w:tcW w:type="dxa" w:w="24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Prepared for</w:t>
            </w:r>
          </w:p>
        </w:tc>
        <w:tc>
          <w:tcPr>
            <w:tcW w:type="dxa" w:w="69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[Client contact name, title]</w:t>
            </w:r>
          </w:p>
        </w:tc>
      </w:tr>
    </w:tbl>
    <w:p>
      <w:pPr>
        <w:spacing w:after="0"/>
      </w:pPr>
      <w:r>
        <w:rPr>
          <w:rFonts w:ascii="Calibri" w:cs="Calibri" w:eastAsia="Calibri" w:hAnsi="Calibri"/>
        </w:rPr>
        <w:t xml:space="preserve"/>
      </w:r>
    </w:p>
    <w:p>
      <w:pPr>
        <w:spacing w:after="0"/>
      </w:pPr>
      <w:r>
        <w:rPr>
          <w:rFonts w:ascii="Calibri" w:cs="Calibri" w:eastAsia="Calibri" w:hAnsi="Calibri"/>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068D9" w:sz="12"/>
              <w:left w:val="single" w:color="C9D3E0" w:sz="4"/>
              <w:bottom w:val="single" w:color="C9D3E0" w:sz="4"/>
              <w:right w:val="single" w:color="C9D3E0" w:sz="4"/>
            </w:tcBorders>
            <w:shd w:fill="F2F6FC" w:color="auto" w:val="clear"/>
            <w:tcMar>
              <w:top w:type="dxa" w:w="140"/>
              <w:left w:type="dxa" w:w="180"/>
              <w:bottom w:type="dxa" w:w="140"/>
              <w:right w:type="dxa" w:w="180"/>
            </w:tcMar>
          </w:tcPr>
          <w:p>
            <w:pPr>
              <w:spacing w:after="80"/>
            </w:pPr>
            <w:r>
              <w:rPr>
                <w:rFonts w:ascii="Calibri" w:cs="Calibri" w:eastAsia="Calibri" w:hAnsi="Calibri"/>
                <w:b/>
                <w:bCs/>
                <w:color w:val="1B2F5D"/>
              </w:rPr>
              <w:t xml:space="preserve">How to use this template</w:t>
            </w:r>
          </w:p>
          <w:p>
            <w:pPr>
              <w:spacing w:after="80"/>
            </w:pPr>
            <w:r>
              <w:rPr>
                <w:rFonts w:ascii="Calibri" w:cs="Calibri" w:eastAsia="Calibri" w:hAnsi="Calibri"/>
                <w:sz w:val="19"/>
                <w:szCs w:val="19"/>
              </w:rPr>
              <w:t xml:space="preserve">Replace everything in [square brackets]. Grey italic text is guidance: delete it before you issue the report. The example finding in section 6.2 shows the level of detail to aim for; delete it too. Delete this box last.</w:t>
            </w:r>
          </w:p>
          <w:p>
            <w:pPr>
              <w:spacing w:after="0"/>
            </w:pPr>
            <w:r>
              <w:rPr>
                <w:rFonts w:ascii="Calibri" w:cs="Calibri" w:eastAsia="Calibri" w:hAnsi="Calibri"/>
                <w:sz w:val="19"/>
                <w:szCs w:val="19"/>
              </w:rPr>
              <w:t xml:space="preserve">Section-by-section notes: </w:t>
            </w:r>
            <w:hyperlink w:history="1" r:id="rIdkdr2ve_keyv2exhuohnoc">
              <w:r>
                <w:rPr>
                  <w:rFonts w:ascii="Calibri" w:cs="Calibri" w:eastAsia="Calibri" w:hAnsi="Calibri"/>
                  <w:color w:val="1068D9"/>
                  <w:sz w:val="19"/>
                  <w:szCs w:val="19"/>
                  <w:u w:val="single"/>
                </w:rPr>
                <w:t xml:space="preserve">invadel.com/blog/vulnerability-assessment-report-template</w:t>
              </w:r>
            </w:hyperlink>
          </w:p>
        </w:tc>
      </w:tr>
    </w:tbl>
    <w:p>
      <w:pPr>
        <w:pStyle w:val="Heading1"/>
        <w:pageBreakBefore/>
      </w:pPr>
      <w:r>
        <w:rPr>
          <w:rFonts w:ascii="Calibri" w:cs="Calibri" w:eastAsia="Calibri" w:hAnsi="Calibri"/>
        </w:rPr>
        <w:t xml:space="preserve">1. Document control</w:t>
      </w:r>
    </w:p>
    <w:p>
      <w:pPr>
        <w:spacing w:after="120"/>
      </w:pPr>
      <w:r>
        <w:rPr>
          <w:rFonts w:ascii="Calibri" w:cs="Calibri" w:eastAsia="Calibri" w:hAnsi="Calibri"/>
          <w:i/>
          <w:iCs/>
          <w:color w:val="5A6A85"/>
        </w:rPr>
        <w:t xml:space="preserve">Auditors check the dates first. Put the scan dates here as well as in the scope.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660"/>
      </w:tblGrid>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Client</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[Client legal name]</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Report title</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Vulnerability Assessment Report: [scope in a few words]</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Version</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[1.0]</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Date issued</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Scan dates</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[Start date] to [end date]</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Classification</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Confidential</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Performed by</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[Firm or team]; analysts: [names]</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Client contact</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[Name, title, email]</w:t>
            </w:r>
          </w:p>
        </w:tc>
      </w:tr>
    </w:tbl>
    <w:p>
      <w:pPr>
        <w:pStyle w:val="Heading2"/>
      </w:pPr>
      <w:r>
        <w:rPr>
          <w:rFonts w:ascii="Calibri" w:cs="Calibri" w:eastAsia="Calibri" w:hAnsi="Calibri"/>
        </w:rPr>
        <w:t xml:space="preserve">Version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700"/>
        <w:gridCol w:w="2400"/>
        <w:gridCol w:w="3960"/>
      </w:tblGrid>
      <w:tr>
        <w:trPr>
          <w:cantSplit/>
          <w:tblHeader/>
        </w:trPr>
        <w:tc>
          <w:tcPr>
            <w:tcW w:type="dxa" w:w="13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Version</w:t>
            </w:r>
          </w:p>
        </w:tc>
        <w:tc>
          <w:tcPr>
            <w:tcW w:type="dxa" w:w="17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Date</w:t>
            </w:r>
          </w:p>
        </w:tc>
        <w:tc>
          <w:tcPr>
            <w:tcW w:type="dxa" w:w="24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Author</w:t>
            </w:r>
          </w:p>
        </w:tc>
        <w:tc>
          <w:tcPr>
            <w:tcW w:type="dxa" w:w="39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Change</w:t>
            </w:r>
          </w:p>
        </w:tc>
      </w:tr>
      <w:tr>
        <w:trPr>
          <w:cantSplit/>
          <w:tblHeader w:val="false"/>
        </w:trPr>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[0.1]</w:t>
            </w:r>
          </w:p>
        </w:tc>
        <w:tc>
          <w:tcPr>
            <w:tcW w:type="dxa" w:w="1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c>
          <w:tcPr>
            <w:tcW w:type="dxa" w:w="24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[Name]</w:t>
            </w:r>
          </w:p>
        </w:tc>
        <w:tc>
          <w:tcPr>
            <w:tcW w:type="dxa" w:w="39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Draft for client review</w:t>
            </w:r>
          </w:p>
        </w:tc>
      </w:tr>
      <w:tr>
        <w:trPr>
          <w:cantSplit/>
          <w:tblHeader w:val="false"/>
        </w:trPr>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[1.0]</w:t>
            </w:r>
          </w:p>
        </w:tc>
        <w:tc>
          <w:tcPr>
            <w:tcW w:type="dxa" w:w="1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c>
          <w:tcPr>
            <w:tcW w:type="dxa" w:w="24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[Name]</w:t>
            </w:r>
          </w:p>
        </w:tc>
        <w:tc>
          <w:tcPr>
            <w:tcW w:type="dxa" w:w="39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Issued</w:t>
            </w:r>
          </w:p>
        </w:tc>
      </w:tr>
      <w:tr>
        <w:trPr>
          <w:cantSplit/>
          <w:tblHeader w:val="false"/>
        </w:trPr>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[1.1]</w:t>
            </w:r>
          </w:p>
        </w:tc>
        <w:tc>
          <w:tcPr>
            <w:tcW w:type="dxa" w:w="1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c>
          <w:tcPr>
            <w:tcW w:type="dxa" w:w="24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[Name]</w:t>
            </w:r>
          </w:p>
        </w:tc>
        <w:tc>
          <w:tcPr>
            <w:tcW w:type="dxa" w:w="39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Rescan results added</w:t>
            </w:r>
          </w:p>
        </w:tc>
      </w:tr>
    </w:tbl>
    <w:p>
      <w:pPr>
        <w:pStyle w:val="Heading2"/>
      </w:pPr>
      <w:r>
        <w:rPr>
          <w:rFonts w:ascii="Calibri" w:cs="Calibri" w:eastAsia="Calibri" w:hAnsi="Calibri"/>
        </w:rPr>
        <w:t xml:space="preserve">Distribution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20"/>
        <w:gridCol w:w="3120"/>
        <w:gridCol w:w="3120"/>
      </w:tblGrid>
      <w:tr>
        <w:trPr>
          <w:cantSplit/>
          <w:tblHeader/>
        </w:trPr>
        <w:tc>
          <w:tcPr>
            <w:tcW w:type="dxa" w:w="312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Name</w:t>
            </w:r>
          </w:p>
        </w:tc>
        <w:tc>
          <w:tcPr>
            <w:tcW w:type="dxa" w:w="312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Role</w:t>
            </w:r>
          </w:p>
        </w:tc>
        <w:tc>
          <w:tcPr>
            <w:tcW w:type="dxa" w:w="312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Organization</w:t>
            </w:r>
          </w:p>
        </w:tc>
      </w:tr>
      <w:tr>
        <w:trPr>
          <w:cantSplit/>
          <w:tblHeader w:val="false"/>
        </w:trPr>
        <w:tc>
          <w:tcPr>
            <w:tcW w:type="dxa" w:w="312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[Name]</w:t>
            </w:r>
          </w:p>
        </w:tc>
        <w:tc>
          <w:tcPr>
            <w:tcW w:type="dxa" w:w="312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[Role]</w:t>
            </w:r>
          </w:p>
        </w:tc>
        <w:tc>
          <w:tcPr>
            <w:tcW w:type="dxa" w:w="312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[Organization]</w:t>
            </w:r>
          </w:p>
        </w:tc>
      </w:tr>
      <w:tr>
        <w:trPr>
          <w:cantSplit/>
          <w:tblHeader w:val="false"/>
        </w:trPr>
        <w:tc>
          <w:tcPr>
            <w:tcW w:type="dxa" w:w="312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[Name]</w:t>
            </w:r>
          </w:p>
        </w:tc>
        <w:tc>
          <w:tcPr>
            <w:tcW w:type="dxa" w:w="312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[Role]</w:t>
            </w:r>
          </w:p>
        </w:tc>
        <w:tc>
          <w:tcPr>
            <w:tcW w:type="dxa" w:w="312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[Organization]</w:t>
            </w:r>
          </w:p>
        </w:tc>
      </w:tr>
    </w:tbl>
    <w:p>
      <w:pPr>
        <w:pStyle w:val="Heading1"/>
        <w:pageBreakBefore/>
      </w:pPr>
      <w:r>
        <w:rPr>
          <w:rFonts w:ascii="Calibri" w:cs="Calibri" w:eastAsia="Calibri" w:hAnsi="Calibri"/>
        </w:rPr>
        <w:t xml:space="preserve">2. Executive summary</w:t>
      </w:r>
    </w:p>
    <w:p>
      <w:pPr>
        <w:spacing w:after="120"/>
      </w:pPr>
      <w:r>
        <w:rPr>
          <w:rFonts w:ascii="Calibri" w:cs="Calibri" w:eastAsia="Calibri" w:hAnsi="Calibri"/>
          <w:i/>
          <w:iCs/>
          <w:color w:val="5A6A85"/>
        </w:rPr>
        <w:t xml:space="preserve">Half a page to a page, written for someone who will read nothing else.</w:t>
      </w:r>
    </w:p>
    <w:p>
      <w:r>
        <w:rPr>
          <w:rFonts w:ascii="Calibri" w:cs="Calibri" w:eastAsia="Calibri" w:hAnsi="Calibri"/>
        </w:rPr>
        <w:t xml:space="preserve">Between [start date] and [end date], [Firm] performed a vulnerability assessment of [scope in one line] for [Client]. Scanning was [authenticated / unauthenticated] and covered [number] hosts across [networks, sites or cloud accounts].</w:t>
      </w:r>
    </w:p>
    <w:p>
      <w:r>
        <w:rPr>
          <w:rFonts w:ascii="Calibri" w:cs="Calibri" w:eastAsia="Calibri" w:hAnsi="Calibri"/>
          <w:b/>
          <w:bCs/>
        </w:rPr>
        <w:t xml:space="preserve">Overall risk: [Critical / High / Medium / Low]. </w:t>
      </w:r>
      <w:r>
        <w:rPr>
          <w:rFonts w:ascii="Calibri" w:cs="Calibri" w:eastAsia="Calibri" w:hAnsi="Calibri"/>
        </w:rPr>
        <w:t xml:space="preserve">[One sentence on the most important finding and where it sits.]</w:t>
      </w:r>
    </w:p>
    <w:p>
      <w:r>
        <w:rPr>
          <w:rFonts w:ascii="Calibri" w:cs="Calibri" w:eastAsia="Calibri" w:hAnsi="Calibri"/>
        </w:rPr>
        <w:t xml:space="preserve">After analyst validation, [N] findings remain: [x] critical, [y] high, [z] medium and [w] low. [M] scanner results were removed as false positives or duplicates.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0"/>
        <w:gridCol w:w="2340"/>
        <w:gridCol w:w="2340"/>
        <w:gridCol w:w="2340"/>
      </w:tblGrid>
      <w:tr>
        <w:trPr>
          <w:cantSplit/>
          <w:tblHeader/>
        </w:trPr>
        <w:tc>
          <w:tcPr>
            <w:tcW w:type="dxa" w:w="234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Critical</w:t>
            </w:r>
          </w:p>
        </w:tc>
        <w:tc>
          <w:tcPr>
            <w:tcW w:type="dxa" w:w="234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High</w:t>
            </w:r>
          </w:p>
        </w:tc>
        <w:tc>
          <w:tcPr>
            <w:tcW w:type="dxa" w:w="234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Medium</w:t>
            </w:r>
          </w:p>
        </w:tc>
        <w:tc>
          <w:tcPr>
            <w:tcW w:type="dxa" w:w="234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Low</w:t>
            </w:r>
          </w:p>
        </w:tc>
      </w:tr>
      <w:tr>
        <w:trPr>
          <w:cantSplit/>
          <w:tblHeader w:val="false"/>
        </w:trPr>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[x]</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[y]</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[z]</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[w]</w:t>
            </w:r>
          </w:p>
        </w:tc>
      </w:tr>
    </w:tbl>
    <w:p>
      <w:pPr>
        <w:spacing w:after="0"/>
      </w:pPr>
      <w:r>
        <w:rPr>
          <w:rFonts w:ascii="Calibri" w:cs="Calibri" w:eastAsia="Calibri" w:hAnsi="Calibri"/>
        </w:rPr>
        <w:t xml:space="preserve"/>
      </w:r>
    </w:p>
    <w:p>
      <w:pPr>
        <w:spacing w:after="60"/>
      </w:pPr>
      <w:r>
        <w:rPr>
          <w:rFonts w:ascii="Calibri" w:cs="Calibri" w:eastAsia="Calibri" w:hAnsi="Calibri"/>
          <w:b/>
          <w:bCs/>
        </w:rPr>
        <w:t xml:space="preserve">Fix first</w:t>
      </w:r>
    </w:p>
    <w:p>
      <w:pPr>
        <w:pStyle w:val="ListParagraph"/>
        <w:numPr>
          <w:ilvl w:val="0"/>
          <w:numId w:val="2"/>
        </w:numPr>
        <w:spacing w:after="60"/>
      </w:pPr>
      <w:r>
        <w:rPr>
          <w:rFonts w:ascii="Calibri" w:cs="Calibri" w:eastAsia="Calibri" w:hAnsi="Calibri"/>
        </w:rPr>
        <w:t xml:space="preserve">[Action, one line]</w:t>
      </w:r>
    </w:p>
    <w:p>
      <w:pPr>
        <w:pStyle w:val="ListParagraph"/>
        <w:numPr>
          <w:ilvl w:val="0"/>
          <w:numId w:val="2"/>
        </w:numPr>
        <w:spacing w:after="60"/>
      </w:pPr>
      <w:r>
        <w:rPr>
          <w:rFonts w:ascii="Calibri" w:cs="Calibri" w:eastAsia="Calibri" w:hAnsi="Calibri"/>
        </w:rPr>
        <w:t xml:space="preserve">[Action, one line]</w:t>
      </w:r>
    </w:p>
    <w:p>
      <w:pPr>
        <w:pStyle w:val="ListParagraph"/>
        <w:numPr>
          <w:ilvl w:val="0"/>
          <w:numId w:val="2"/>
        </w:numPr>
        <w:spacing w:after="120"/>
      </w:pPr>
      <w:r>
        <w:rPr>
          <w:rFonts w:ascii="Calibri" w:cs="Calibri" w:eastAsia="Calibri" w:hAnsi="Calibri"/>
        </w:rPr>
        <w:t xml:space="preserve">[Action, one line]</w:t>
      </w:r>
    </w:p>
    <w:p>
      <w:pPr>
        <w:spacing w:after="60"/>
      </w:pPr>
      <w:r>
        <w:rPr>
          <w:rFonts w:ascii="Calibri" w:cs="Calibri" w:eastAsia="Calibri" w:hAnsi="Calibri"/>
          <w:b/>
          <w:bCs/>
        </w:rPr>
        <w:t xml:space="preserve">What held up</w:t>
      </w:r>
    </w:p>
    <w:p>
      <w:pPr>
        <w:pStyle w:val="ListParagraph"/>
        <w:numPr>
          <w:ilvl w:val="0"/>
          <w:numId w:val="3"/>
        </w:numPr>
        <w:spacing w:after="60"/>
      </w:pPr>
      <w:r>
        <w:rPr>
          <w:rFonts w:ascii="Calibri" w:cs="Calibri" w:eastAsia="Calibri" w:hAnsi="Calibri"/>
        </w:rPr>
        <w:t xml:space="preserve">[Something in good shape, for example patching on workstations]</w:t>
      </w:r>
    </w:p>
    <w:p>
      <w:pPr>
        <w:pStyle w:val="ListParagraph"/>
        <w:numPr>
          <w:ilvl w:val="0"/>
          <w:numId w:val="3"/>
        </w:numPr>
        <w:spacing w:after="60"/>
      </w:pPr>
      <w:r>
        <w:rPr>
          <w:rFonts w:ascii="Calibri" w:cs="Calibri" w:eastAsia="Calibri" w:hAnsi="Calibri"/>
        </w:rPr>
        <w:t xml:space="preserve">[Something in good shape, for example no services exposed to the internet that should not be]</w:t>
      </w:r>
    </w:p>
    <w:p>
      <w:pPr>
        <w:spacing w:after="120"/>
      </w:pPr>
      <w:r>
        <w:rPr>
          <w:rFonts w:ascii="Calibri" w:cs="Calibri" w:eastAsia="Calibri" w:hAnsi="Calibri"/>
          <w:i/>
          <w:iCs/>
          <w:color w:val="5A6A85"/>
        </w:rPr>
        <w:t xml:space="preserve">Keep the count of false positives removed. It tells the reader a person checked the report, not only a tool.</w:t>
      </w:r>
    </w:p>
    <w:p>
      <w:pPr>
        <w:pStyle w:val="Heading1"/>
        <w:pageBreakBefore/>
      </w:pPr>
      <w:r>
        <w:rPr>
          <w:rFonts w:ascii="Calibri" w:cs="Calibri" w:eastAsia="Calibri" w:hAnsi="Calibri"/>
        </w:rPr>
        <w:t xml:space="preserve">3. Scope and method</w:t>
      </w:r>
    </w:p>
    <w:p>
      <w:pPr>
        <w:spacing w:after="120"/>
      </w:pPr>
      <w:r>
        <w:rPr>
          <w:rFonts w:ascii="Calibri" w:cs="Calibri" w:eastAsia="Calibri" w:hAnsi="Calibri"/>
          <w:i/>
          <w:iCs/>
          <w:color w:val="5A6A85"/>
        </w:rPr>
        <w:t xml:space="preserve">State exactly what was scanned, so nobody later assumes a system was covered when it was not.</w:t>
      </w:r>
    </w:p>
    <w:p>
      <w:pPr>
        <w:pStyle w:val="Heading2"/>
      </w:pPr>
      <w:r>
        <w:rPr>
          <w:rFonts w:ascii="Calibri" w:cs="Calibri" w:eastAsia="Calibri" w:hAnsi="Calibri"/>
        </w:rPr>
        <w:t xml:space="preserve">3.1 Assets in scope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500"/>
        <w:gridCol w:w="1800"/>
        <w:gridCol w:w="1000"/>
        <w:gridCol w:w="2460"/>
      </w:tblGrid>
      <w:tr>
        <w:trPr>
          <w:cantSplit/>
          <w:tblHeader/>
        </w:trPr>
        <w:tc>
          <w:tcPr>
            <w:tcW w:type="dxa" w:w="26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Asset or range</w:t>
            </w:r>
          </w:p>
        </w:tc>
        <w:tc>
          <w:tcPr>
            <w:tcW w:type="dxa" w:w="15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Type</w:t>
            </w:r>
          </w:p>
        </w:tc>
        <w:tc>
          <w:tcPr>
            <w:tcW w:type="dxa" w:w="18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Environment</w:t>
            </w:r>
          </w:p>
        </w:tc>
        <w:tc>
          <w:tcPr>
            <w:tcW w:type="dxa" w:w="10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Hosts</w:t>
            </w:r>
          </w:p>
        </w:tc>
        <w:tc>
          <w:tcPr>
            <w:tcW w:type="dxa" w:w="24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Notes</w:t>
            </w:r>
          </w:p>
        </w:tc>
      </w:tr>
      <w:tr>
        <w:trPr>
          <w:cantSplit/>
          <w:tblHeader w:val="false"/>
        </w:trPr>
        <w:tc>
          <w:tcPr>
            <w:tcW w:type="dxa" w:w="26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[10.20.0.0/16]</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[Internal range]</w:t>
            </w:r>
          </w:p>
        </w:tc>
        <w:tc>
          <w:tcPr>
            <w:tcW w:type="dxa" w:w="18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[Head office]</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24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26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[203.0.113.0/28]</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[External range]</w:t>
            </w:r>
          </w:p>
        </w:tc>
        <w:tc>
          <w:tcPr>
            <w:tcW w:type="dxa" w:w="18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[Internet-facing]</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24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26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[app.example.com]</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[Application URL]</w:t>
            </w:r>
          </w:p>
        </w:tc>
        <w:tc>
          <w:tcPr>
            <w:tcW w:type="dxa" w:w="18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[Production]</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24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26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[Cloud account ID]</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[Cloud account]</w:t>
            </w:r>
          </w:p>
        </w:tc>
        <w:tc>
          <w:tcPr>
            <w:tcW w:type="dxa" w:w="18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24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26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Total</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r>
          </w:p>
        </w:tc>
        <w:tc>
          <w:tcPr>
            <w:tcW w:type="dxa" w:w="18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24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r>
          </w:p>
        </w:tc>
      </w:tr>
    </w:tbl>
    <w:p>
      <w:pPr>
        <w:pStyle w:val="Heading2"/>
      </w:pPr>
      <w:r>
        <w:rPr>
          <w:rFonts w:ascii="Calibri" w:cs="Calibri" w:eastAsia="Calibri" w:hAnsi="Calibri"/>
        </w:rPr>
        <w:t xml:space="preserve">3.2 Exclusions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5360"/>
      </w:tblGrid>
      <w:tr>
        <w:trPr>
          <w:cantSplit/>
          <w:tblHeader/>
        </w:trPr>
        <w:tc>
          <w:tcPr>
            <w:tcW w:type="dxa" w:w="40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Excluded asset</w:t>
            </w:r>
          </w:p>
        </w:tc>
        <w:tc>
          <w:tcPr>
            <w:tcW w:type="dxa" w:w="53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Reason</w:t>
            </w:r>
          </w:p>
        </w:tc>
      </w:tr>
      <w:tr>
        <w:trPr>
          <w:cantSplit/>
          <w:tblHeader w:val="false"/>
        </w:trPr>
        <w:tc>
          <w:tcPr>
            <w:tcW w:type="dxa" w:w="4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[Host or range]</w:t>
            </w:r>
          </w:p>
        </w:tc>
        <w:tc>
          <w:tcPr>
            <w:tcW w:type="dxa" w:w="53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[Why it was left out, and who approved it]</w:t>
            </w:r>
          </w:p>
        </w:tc>
      </w:tr>
    </w:tbl>
    <w:p>
      <w:pPr>
        <w:pStyle w:val="Heading2"/>
      </w:pPr>
      <w:r>
        <w:rPr>
          <w:rFonts w:ascii="Calibri" w:cs="Calibri" w:eastAsia="Calibri" w:hAnsi="Calibri"/>
        </w:rPr>
        <w:t xml:space="preserve">3.3 Method</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660"/>
      </w:tblGrid>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Scan type</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[Authenticated / unauthenticated]; [internal / external]</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Scanner location</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[Where the scanner sat on the network, for example the server VLAN]</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Tools</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[Scanner name and version]</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Vulnerability feed</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[Feed or plugin set date]</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Scan windows</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 start and end time for each scan, including rescans]</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Validation method</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[Authenticated package checks, configuration review, manual verification]</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Severity scale</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CVSS v3.1 base score, rated with the qualitative scale in section 4</w:t>
            </w:r>
          </w:p>
        </w:tc>
      </w:tr>
    </w:tbl>
    <w:p>
      <w:pPr>
        <w:spacing w:after="0"/>
      </w:pPr>
      <w:r>
        <w:rPr>
          <w:rFonts w:ascii="Calibri" w:cs="Calibri" w:eastAsia="Calibri" w:hAnsi="Calibri"/>
        </w:rPr>
        <w:t xml:space="preserve"/>
      </w:r>
    </w:p>
    <w:p>
      <w:pPr>
        <w:spacing w:after="120"/>
      </w:pPr>
      <w:r>
        <w:rPr>
          <w:rFonts w:ascii="Calibri" w:cs="Calibri" w:eastAsia="Calibri" w:hAnsi="Calibri"/>
          <w:i/>
          <w:iCs/>
          <w:color w:val="5A6A85"/>
        </w:rPr>
        <w:t xml:space="preserve">Authenticated scans log in to each host and read installed package versions and settings. They find far more than an unauthenticated pass, and they are how false positives get settled.</w:t>
      </w:r>
    </w:p>
    <w:p>
      <w:pPr>
        <w:pStyle w:val="Heading2"/>
      </w:pPr>
      <w:r>
        <w:rPr>
          <w:rFonts w:ascii="Calibri" w:cs="Calibri" w:eastAsia="Calibri" w:hAnsi="Calibri"/>
        </w:rPr>
        <w:t xml:space="preserve">3.4 Limitations</w:t>
      </w:r>
    </w:p>
    <w:p>
      <w:pPr>
        <w:pStyle w:val="ListParagraph"/>
        <w:numPr>
          <w:ilvl w:val="0"/>
          <w:numId w:val="3"/>
        </w:numPr>
        <w:spacing w:after="60"/>
      </w:pPr>
      <w:r>
        <w:rPr>
          <w:rFonts w:ascii="Calibri" w:cs="Calibri" w:eastAsia="Calibri" w:hAnsi="Calibri"/>
        </w:rPr>
        <w:t xml:space="preserve">[Hosts that were offline during the scan window]</w:t>
      </w:r>
    </w:p>
    <w:p>
      <w:pPr>
        <w:pStyle w:val="ListParagraph"/>
        <w:numPr>
          <w:ilvl w:val="0"/>
          <w:numId w:val="3"/>
        </w:numPr>
        <w:spacing w:after="60"/>
      </w:pPr>
      <w:r>
        <w:rPr>
          <w:rFonts w:ascii="Calibri" w:cs="Calibri" w:eastAsia="Calibri" w:hAnsi="Calibri"/>
        </w:rPr>
        <w:t xml:space="preserve">[Hosts where credentials failed, so only an unauthenticated check ran]</w:t>
      </w:r>
    </w:p>
    <w:p>
      <w:pPr>
        <w:pStyle w:val="ListParagraph"/>
        <w:numPr>
          <w:ilvl w:val="0"/>
          <w:numId w:val="3"/>
        </w:numPr>
        <w:spacing w:after="60"/>
      </w:pPr>
      <w:r>
        <w:rPr>
          <w:rFonts w:ascii="Calibri" w:cs="Calibri" w:eastAsia="Calibri" w:hAnsi="Calibri"/>
        </w:rPr>
        <w:t xml:space="preserve">[Services that could not be reached from the scanner location]</w:t>
      </w:r>
    </w:p>
    <w:p>
      <w:pPr>
        <w:pStyle w:val="Heading1"/>
        <w:pageBreakBefore/>
      </w:pPr>
      <w:r>
        <w:rPr>
          <w:rFonts w:ascii="Calibri" w:cs="Calibri" w:eastAsia="Calibri" w:hAnsi="Calibri"/>
        </w:rPr>
        <w:t xml:space="preserve">4. Summary of findings</w:t>
      </w:r>
    </w:p>
    <w:p>
      <w:r>
        <w:rPr>
          <w:rFonts w:ascii="Calibri" w:cs="Calibri" w:eastAsia="Calibri" w:hAnsi="Calibri"/>
        </w:rPr>
        <w:t xml:space="preserve">Severity uses the CVSS v3.1 qualitative scale, so it means the same thing in every report.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0"/>
        <w:gridCol w:w="2340"/>
        <w:gridCol w:w="2340"/>
        <w:gridCol w:w="2340"/>
      </w:tblGrid>
      <w:tr>
        <w:trPr>
          <w:cantSplit/>
          <w:tblHeader/>
        </w:trPr>
        <w:tc>
          <w:tcPr>
            <w:tcW w:type="dxa" w:w="234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Severity</w:t>
            </w:r>
          </w:p>
        </w:tc>
        <w:tc>
          <w:tcPr>
            <w:tcW w:type="dxa" w:w="234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CVSS base score</w:t>
            </w:r>
          </w:p>
        </w:tc>
        <w:tc>
          <w:tcPr>
            <w:tcW w:type="dxa" w:w="234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Scanner results</w:t>
            </w:r>
          </w:p>
        </w:tc>
        <w:tc>
          <w:tcPr>
            <w:tcW w:type="dxa" w:w="234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After validation</w:t>
            </w:r>
          </w:p>
        </w:tc>
      </w:tr>
      <w:tr>
        <w:trPr>
          <w:cantSplit/>
          <w:tblHeader w:val="false"/>
        </w:trPr>
        <w:tc>
          <w:tcPr>
            <w:tcW w:type="dxa" w:w="2340"/>
            <w:tcBorders>
              <w:top w:val="single" w:color="C9D3E0" w:sz="4"/>
              <w:left w:val="single" w:color="C9D3E0" w:sz="4"/>
              <w:bottom w:val="single" w:color="C9D3E0" w:sz="4"/>
              <w:right w:val="single" w:color="C9D3E0" w:sz="4"/>
            </w:tcBorders>
            <w:shd w:fill="F6D5D1" w:color="auto" w:val="clear"/>
            <w:tcMar>
              <w:top w:type="dxa" w:w="60"/>
              <w:left w:type="dxa" w:w="100"/>
              <w:bottom w:type="dxa" w:w="60"/>
              <w:right w:type="dxa" w:w="100"/>
            </w:tcMar>
            <w:vAlign w:val="top"/>
          </w:tcPr>
          <w:p>
            <w:pPr>
              <w:spacing w:after="0"/>
            </w:pPr>
            <w:r>
              <w:rPr>
                <w:rFonts w:ascii="Calibri" w:cs="Calibri" w:eastAsia="Calibri" w:hAnsi="Calibri"/>
                <w:sz w:val="19"/>
                <w:szCs w:val="19"/>
              </w:rPr>
              <w:t xml:space="preserve">Critical</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9.0 to 10.0</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2340"/>
            <w:tcBorders>
              <w:top w:val="single" w:color="C9D3E0" w:sz="4"/>
              <w:left w:val="single" w:color="C9D3E0" w:sz="4"/>
              <w:bottom w:val="single" w:color="C9D3E0" w:sz="4"/>
              <w:right w:val="single" w:color="C9D3E0" w:sz="4"/>
            </w:tcBorders>
            <w:shd w:fill="FBE3CF" w:color="auto" w:val="clear"/>
            <w:tcMar>
              <w:top w:type="dxa" w:w="60"/>
              <w:left w:type="dxa" w:w="100"/>
              <w:bottom w:type="dxa" w:w="60"/>
              <w:right w:type="dxa" w:w="100"/>
            </w:tcMar>
            <w:vAlign w:val="top"/>
          </w:tcPr>
          <w:p>
            <w:pPr>
              <w:spacing w:after="0"/>
            </w:pPr>
            <w:r>
              <w:rPr>
                <w:rFonts w:ascii="Calibri" w:cs="Calibri" w:eastAsia="Calibri" w:hAnsi="Calibri"/>
                <w:sz w:val="19"/>
                <w:szCs w:val="19"/>
              </w:rPr>
              <w:t xml:space="preserve">High</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7.0 to 8.9</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2340"/>
            <w:tcBorders>
              <w:top w:val="single" w:color="C9D3E0" w:sz="4"/>
              <w:left w:val="single" w:color="C9D3E0" w:sz="4"/>
              <w:bottom w:val="single" w:color="C9D3E0" w:sz="4"/>
              <w:right w:val="single" w:color="C9D3E0" w:sz="4"/>
            </w:tcBorders>
            <w:shd w:fill="FFF1C7" w:color="auto" w:val="clear"/>
            <w:tcMar>
              <w:top w:type="dxa" w:w="60"/>
              <w:left w:type="dxa" w:w="100"/>
              <w:bottom w:type="dxa" w:w="60"/>
              <w:right w:type="dxa" w:w="100"/>
            </w:tcMar>
            <w:vAlign w:val="top"/>
          </w:tcPr>
          <w:p>
            <w:pPr>
              <w:spacing w:after="0"/>
            </w:pPr>
            <w:r>
              <w:rPr>
                <w:rFonts w:ascii="Calibri" w:cs="Calibri" w:eastAsia="Calibri" w:hAnsi="Calibri"/>
                <w:sz w:val="19"/>
                <w:szCs w:val="19"/>
              </w:rPr>
              <w:t xml:space="preserve">Medium</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4.0 to 6.9</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2340"/>
            <w:tcBorders>
              <w:top w:val="single" w:color="C9D3E0" w:sz="4"/>
              <w:left w:val="single" w:color="C9D3E0" w:sz="4"/>
              <w:bottom w:val="single" w:color="C9D3E0" w:sz="4"/>
              <w:right w:val="single" w:color="C9D3E0" w:sz="4"/>
            </w:tcBorders>
            <w:shd w:fill="DDEBF8" w:color="auto" w:val="clear"/>
            <w:tcMar>
              <w:top w:type="dxa" w:w="60"/>
              <w:left w:type="dxa" w:w="100"/>
              <w:bottom w:type="dxa" w:w="60"/>
              <w:right w:type="dxa" w:w="100"/>
            </w:tcMar>
            <w:vAlign w:val="top"/>
          </w:tcPr>
          <w:p>
            <w:pPr>
              <w:spacing w:after="0"/>
            </w:pPr>
            <w:r>
              <w:rPr>
                <w:rFonts w:ascii="Calibri" w:cs="Calibri" w:eastAsia="Calibri" w:hAnsi="Calibri"/>
                <w:sz w:val="19"/>
                <w:szCs w:val="19"/>
              </w:rPr>
              <w:t xml:space="preserve">Low</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0.1 to 3.9</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False positives and duplicates removed</w:t>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r>
          </w:p>
        </w:tc>
        <w:tc>
          <w:tcPr>
            <w:tcW w:type="dxa" w:w="23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bl>
    <w:p>
      <w:pPr>
        <w:pStyle w:val="Heading1"/>
        <w:pageBreakBefore/>
      </w:pPr>
      <w:r>
        <w:rPr>
          <w:rFonts w:ascii="Calibri" w:cs="Calibri" w:eastAsia="Calibri" w:hAnsi="Calibri"/>
        </w:rPr>
        <w:t xml:space="preserve">5. Findings table</w:t>
      </w:r>
    </w:p>
    <w:p>
      <w:pPr>
        <w:spacing w:after="120"/>
      </w:pPr>
      <w:r>
        <w:rPr>
          <w:rFonts w:ascii="Calibri" w:cs="Calibri" w:eastAsia="Calibri" w:hAnsi="Calibri"/>
          <w:i/>
          <w:iCs/>
          <w:color w:val="5A6A85"/>
        </w:rPr>
        <w:t xml:space="preserve">One row per finding, not one row per host. Group every affected host under the finding so it has one owner.</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20"/>
        <w:gridCol w:w="2000"/>
        <w:gridCol w:w="1000"/>
        <w:gridCol w:w="700"/>
        <w:gridCol w:w="1500"/>
        <w:gridCol w:w="1240"/>
        <w:gridCol w:w="1100"/>
        <w:gridCol w:w="1000"/>
      </w:tblGrid>
      <w:tr>
        <w:trPr>
          <w:cantSplit/>
          <w:tblHeader/>
        </w:trPr>
        <w:tc>
          <w:tcPr>
            <w:tcW w:type="dxa" w:w="82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ID</w:t>
            </w:r>
          </w:p>
        </w:tc>
        <w:tc>
          <w:tcPr>
            <w:tcW w:type="dxa" w:w="20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Finding</w:t>
            </w:r>
          </w:p>
        </w:tc>
        <w:tc>
          <w:tcPr>
            <w:tcW w:type="dxa" w:w="10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Severity</w:t>
            </w:r>
          </w:p>
        </w:tc>
        <w:tc>
          <w:tcPr>
            <w:tcW w:type="dxa" w:w="7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CVSS</w:t>
            </w:r>
          </w:p>
        </w:tc>
        <w:tc>
          <w:tcPr>
            <w:tcW w:type="dxa" w:w="15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Affected hosts</w:t>
            </w:r>
          </w:p>
        </w:tc>
        <w:tc>
          <w:tcPr>
            <w:tcW w:type="dxa" w:w="124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Validation status</w:t>
            </w:r>
          </w:p>
        </w:tc>
        <w:tc>
          <w:tcPr>
            <w:tcW w:type="dxa" w:w="11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Owner</w:t>
            </w:r>
          </w:p>
        </w:tc>
        <w:tc>
          <w:tcPr>
            <w:tcW w:type="dxa" w:w="10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Due</w:t>
            </w:r>
          </w:p>
        </w:tc>
      </w:tr>
      <w:tr>
        <w:trPr>
          <w:cantSplit/>
          <w:tblHeader w:val="false"/>
        </w:trPr>
        <w:tc>
          <w:tcPr>
            <w:tcW w:type="dxa" w:w="82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VA-001</w:t>
            </w:r>
          </w:p>
        </w:tc>
        <w:tc>
          <w:tcPr>
            <w:tcW w:type="dxa" w:w="2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[Title]</w:t>
            </w:r>
          </w:p>
        </w:tc>
        <w:tc>
          <w:tcPr>
            <w:tcW w:type="dxa" w:w="1000"/>
            <w:tcBorders>
              <w:top w:val="single" w:color="C9D3E0" w:sz="4"/>
              <w:left w:val="single" w:color="C9D3E0" w:sz="4"/>
              <w:bottom w:val="single" w:color="C9D3E0" w:sz="4"/>
              <w:right w:val="single" w:color="C9D3E0" w:sz="4"/>
            </w:tcBorders>
            <w:shd w:fill="FBE3CF" w:color="auto" w:val="clear"/>
            <w:tcMar>
              <w:top w:type="dxa" w:w="60"/>
              <w:left w:type="dxa" w:w="100"/>
              <w:bottom w:type="dxa" w:w="60"/>
              <w:right w:type="dxa" w:w="100"/>
            </w:tcMar>
            <w:vAlign w:val="top"/>
          </w:tcPr>
          <w:p>
            <w:pPr>
              <w:spacing w:after="0"/>
            </w:pPr>
            <w:r>
              <w:rPr>
                <w:rFonts w:ascii="Calibri" w:cs="Calibri" w:eastAsia="Calibri" w:hAnsi="Calibri"/>
                <w:sz w:val="19"/>
                <w:szCs w:val="19"/>
              </w:rPr>
              <w:t xml:space="preserve">[High]</w:t>
            </w:r>
          </w:p>
        </w:tc>
        <w:tc>
          <w:tcPr>
            <w:tcW w:type="dxa" w:w="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[8.1]</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[3 flagged, 1 confirmed]</w:t>
            </w:r>
          </w:p>
        </w:tc>
        <w:tc>
          <w:tcPr>
            <w:tcW w:type="dxa" w:w="12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[Confirmed]</w:t>
            </w:r>
          </w:p>
        </w:tc>
        <w:tc>
          <w:tcPr>
            <w:tcW w:type="dxa" w:w="11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[Team]</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r>
      <w:tr>
        <w:trPr>
          <w:cantSplit/>
          <w:tblHeader w:val="false"/>
        </w:trPr>
        <w:tc>
          <w:tcPr>
            <w:tcW w:type="dxa" w:w="82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VA-002</w:t>
            </w:r>
          </w:p>
        </w:tc>
        <w:tc>
          <w:tcPr>
            <w:tcW w:type="dxa" w:w="2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[Title]</w:t>
            </w:r>
          </w:p>
        </w:tc>
        <w:tc>
          <w:tcPr>
            <w:tcW w:type="dxa" w:w="1000"/>
            <w:tcBorders>
              <w:top w:val="single" w:color="C9D3E0" w:sz="4"/>
              <w:left w:val="single" w:color="C9D3E0" w:sz="4"/>
              <w:bottom w:val="single" w:color="C9D3E0" w:sz="4"/>
              <w:right w:val="single" w:color="C9D3E0" w:sz="4"/>
            </w:tcBorders>
            <w:shd w:fill="FFF1C7" w:color="auto" w:val="clear"/>
            <w:tcMar>
              <w:top w:type="dxa" w:w="60"/>
              <w:left w:type="dxa" w:w="100"/>
              <w:bottom w:type="dxa" w:w="60"/>
              <w:right w:type="dxa" w:w="100"/>
            </w:tcMar>
            <w:vAlign w:val="top"/>
          </w:tcPr>
          <w:p>
            <w:pPr>
              <w:spacing w:after="0"/>
            </w:pPr>
            <w:r>
              <w:rPr>
                <w:rFonts w:ascii="Calibri" w:cs="Calibri" w:eastAsia="Calibri" w:hAnsi="Calibri"/>
                <w:sz w:val="19"/>
                <w:szCs w:val="19"/>
              </w:rPr>
              <w:t xml:space="preserve">[Medium]</w:t>
            </w:r>
          </w:p>
        </w:tc>
        <w:tc>
          <w:tcPr>
            <w:tcW w:type="dxa" w:w="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[5.3]</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[14]</w:t>
            </w:r>
          </w:p>
        </w:tc>
        <w:tc>
          <w:tcPr>
            <w:tcW w:type="dxa" w:w="12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[Confirmed]</w:t>
            </w:r>
          </w:p>
        </w:tc>
        <w:tc>
          <w:tcPr>
            <w:tcW w:type="dxa" w:w="11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[Team]</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r>
      <w:tr>
        <w:trPr>
          <w:cantSplit/>
          <w:tblHeader w:val="false"/>
        </w:trPr>
        <w:tc>
          <w:tcPr>
            <w:tcW w:type="dxa" w:w="82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VA-003</w:t>
            </w:r>
          </w:p>
        </w:tc>
        <w:tc>
          <w:tcPr>
            <w:tcW w:type="dxa" w:w="2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[Title]</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[Severity]</w:t>
            </w:r>
          </w:p>
        </w:tc>
        <w:tc>
          <w:tcPr>
            <w:tcW w:type="dxa" w:w="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2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1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82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VA-004</w:t>
            </w:r>
          </w:p>
        </w:tc>
        <w:tc>
          <w:tcPr>
            <w:tcW w:type="dxa" w:w="2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[Title]</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[Severity]</w:t>
            </w:r>
          </w:p>
        </w:tc>
        <w:tc>
          <w:tcPr>
            <w:tcW w:type="dxa" w:w="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24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1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bl>
    <w:p>
      <w:pPr>
        <w:pStyle w:val="Heading2"/>
      </w:pPr>
      <w:r>
        <w:rPr>
          <w:rFonts w:ascii="Calibri" w:cs="Calibri" w:eastAsia="Calibri" w:hAnsi="Calibri"/>
        </w:rPr>
        <w:t xml:space="preserve">Validation statuses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160"/>
      </w:tblGrid>
      <w:tr>
        <w:trPr>
          <w:cantSplit/>
          <w:tblHeader/>
        </w:trPr>
        <w:tc>
          <w:tcPr>
            <w:tcW w:type="dxa" w:w="22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Status</w:t>
            </w:r>
          </w:p>
        </w:tc>
        <w:tc>
          <w:tcPr>
            <w:tcW w:type="dxa" w:w="71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Meaning</w:t>
            </w:r>
          </w:p>
        </w:tc>
      </w:tr>
      <w:tr>
        <w:trPr>
          <w:cantSplit/>
          <w:tblHeader w:val="false"/>
        </w:trPr>
        <w:tc>
          <w:tcPr>
            <w:tcW w:type="dxa" w:w="22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Confirmed</w:t>
            </w:r>
          </w:p>
        </w:tc>
        <w:tc>
          <w:tcPr>
            <w:tcW w:type="dxa" w:w="71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Verified present by an authenticated check or manual review.</w:t>
            </w:r>
          </w:p>
        </w:tc>
      </w:tr>
      <w:tr>
        <w:trPr>
          <w:cantSplit/>
          <w:tblHeader w:val="false"/>
        </w:trPr>
        <w:tc>
          <w:tcPr>
            <w:tcW w:type="dxa" w:w="22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False positive</w:t>
            </w:r>
          </w:p>
        </w:tc>
        <w:tc>
          <w:tcPr>
            <w:tcW w:type="dxa" w:w="71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Reported by the scanner but not present. The reason is recorded.</w:t>
            </w:r>
          </w:p>
        </w:tc>
      </w:tr>
      <w:tr>
        <w:trPr>
          <w:cantSplit/>
          <w:tblHeader w:val="false"/>
        </w:trPr>
        <w:tc>
          <w:tcPr>
            <w:tcW w:type="dxa" w:w="22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Not validated</w:t>
            </w:r>
          </w:p>
        </w:tc>
        <w:tc>
          <w:tcPr>
            <w:tcW w:type="dxa" w:w="71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Could not be checked, for example because credentials failed. Treat as open.</w:t>
            </w:r>
          </w:p>
        </w:tc>
      </w:tr>
      <w:tr>
        <w:trPr>
          <w:cantSplit/>
          <w:tblHeader w:val="false"/>
        </w:trPr>
        <w:tc>
          <w:tcPr>
            <w:tcW w:type="dxa" w:w="22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Risk accepted</w:t>
            </w:r>
          </w:p>
        </w:tc>
        <w:tc>
          <w:tcPr>
            <w:tcW w:type="dxa" w:w="71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Present, with a documented business decision not to fix it now.</w:t>
            </w:r>
          </w:p>
        </w:tc>
      </w:tr>
    </w:tbl>
    <w:p>
      <w:pPr>
        <w:pStyle w:val="Heading1"/>
        <w:pageBreakBefore/>
      </w:pPr>
      <w:r>
        <w:rPr>
          <w:rFonts w:ascii="Calibri" w:cs="Calibri" w:eastAsia="Calibri" w:hAnsi="Calibri"/>
        </w:rPr>
        <w:t xml:space="preserve">6. Detailed findings</w:t>
      </w:r>
    </w:p>
    <w:p>
      <w:pPr>
        <w:spacing w:after="120"/>
      </w:pPr>
      <w:r>
        <w:rPr>
          <w:rFonts w:ascii="Calibri" w:cs="Calibri" w:eastAsia="Calibri" w:hAnsi="Calibri"/>
          <w:i/>
          <w:iCs/>
          <w:color w:val="5A6A85"/>
        </w:rPr>
        <w:t xml:space="preserve">Give each finding its own entry. Copy the blank entry in 6.1 once per finding, in the order of the findings table.</w:t>
      </w:r>
    </w:p>
    <w:p>
      <w:pPr>
        <w:pStyle w:val="Heading2"/>
      </w:pPr>
      <w:r>
        <w:rPr>
          <w:rFonts w:ascii="Calibri" w:cs="Calibri" w:eastAsia="Calibri" w:hAnsi="Calibri"/>
        </w:rPr>
        <w:t xml:space="preserve">6.1 Finding entry</w:t>
      </w:r>
    </w:p>
    <w:p>
      <w:pPr>
        <w:pStyle w:val="Heading3"/>
      </w:pPr>
      <w:r>
        <w:rPr>
          <w:rFonts w:ascii="Calibri" w:cs="Calibri" w:eastAsia="Calibri" w:hAnsi="Calibri"/>
        </w:rPr>
        <w:t xml:space="preserve">[VA-00X] [Finding title] ([CVE ID, if any])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1000"/>
        <w:gridCol w:w="4660"/>
        <w:gridCol w:w="2500"/>
      </w:tblGrid>
      <w:tr>
        <w:trPr>
          <w:cantSplit/>
          <w:tblHeader/>
        </w:trPr>
        <w:tc>
          <w:tcPr>
            <w:tcW w:type="dxa" w:w="12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Severity</w:t>
            </w:r>
          </w:p>
        </w:tc>
        <w:tc>
          <w:tcPr>
            <w:tcW w:type="dxa" w:w="10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CVSS v3.1</w:t>
            </w:r>
          </w:p>
        </w:tc>
        <w:tc>
          <w:tcPr>
            <w:tcW w:type="dxa" w:w="46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Vector</w:t>
            </w:r>
          </w:p>
        </w:tc>
        <w:tc>
          <w:tcPr>
            <w:tcW w:type="dxa" w:w="25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Owner and due date</w:t>
            </w:r>
          </w:p>
        </w:tc>
      </w:tr>
      <w:tr>
        <w:trPr>
          <w:cantSplit/>
          <w:tblHeader w:val="false"/>
        </w:trPr>
        <w:tc>
          <w:tcPr>
            <w:tcW w:type="dxa" w:w="12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[Severity]</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[Score]</w:t>
            </w:r>
          </w:p>
        </w:tc>
        <w:tc>
          <w:tcPr>
            <w:tcW w:type="dxa" w:w="4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[CVSS:3.1 vector string]</w:t>
            </w:r>
          </w:p>
        </w:tc>
        <w:tc>
          <w:tcPr>
            <w:tcW w:type="dxa" w:w="2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[Team], [date]</w:t>
            </w:r>
          </w:p>
        </w:tc>
      </w:tr>
    </w:tbl>
    <w:p>
      <w:pPr>
        <w:spacing w:after="0"/>
      </w:pPr>
      <w:r>
        <w:rPr>
          <w:rFonts w:ascii="Calibri" w:cs="Calibri" w:eastAsia="Calibri" w:hAnsi="Calibri"/>
        </w:rPr>
        <w:t xml:space="preserve"/>
      </w:r>
    </w:p>
    <w:p>
      <w:pPr>
        <w:keepNext/>
        <w:spacing w:after="60"/>
      </w:pPr>
      <w:r>
        <w:rPr>
          <w:rFonts w:ascii="Calibri" w:cs="Calibri" w:eastAsia="Calibri" w:hAnsi="Calibri"/>
          <w:b/>
          <w:bCs/>
        </w:rPr>
        <w:t xml:space="preserve">Affected hosts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1900"/>
        <w:gridCol w:w="3460"/>
        <w:gridCol w:w="1500"/>
      </w:tblGrid>
      <w:tr>
        <w:trPr>
          <w:cantSplit/>
          <w:tblHeader/>
        </w:trPr>
        <w:tc>
          <w:tcPr>
            <w:tcW w:type="dxa" w:w="25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Host</w:t>
            </w:r>
          </w:p>
        </w:tc>
        <w:tc>
          <w:tcPr>
            <w:tcW w:type="dxa" w:w="19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Scanner result</w:t>
            </w:r>
          </w:p>
        </w:tc>
        <w:tc>
          <w:tcPr>
            <w:tcW w:type="dxa" w:w="34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Validation</w:t>
            </w:r>
          </w:p>
        </w:tc>
        <w:tc>
          <w:tcPr>
            <w:tcW w:type="dxa" w:w="15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Status</w:t>
            </w:r>
          </w:p>
        </w:tc>
      </w:tr>
      <w:tr>
        <w:trPr>
          <w:cantSplit/>
          <w:tblHeader w:val="false"/>
        </w:trPr>
        <w:tc>
          <w:tcPr>
            <w:tcW w:type="dxa" w:w="2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[Host or IP (role)]</w:t>
            </w:r>
          </w:p>
        </w:tc>
        <w:tc>
          <w:tcPr>
            <w:tcW w:type="dxa" w:w="1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[What the scanner reported]</w:t>
            </w:r>
          </w:p>
        </w:tc>
        <w:tc>
          <w:tcPr>
            <w:tcW w:type="dxa" w:w="34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[How it was checked]</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[Confirmed]</w:t>
            </w:r>
          </w:p>
        </w:tc>
      </w:tr>
      <w:tr>
        <w:trPr>
          <w:cantSplit/>
          <w:tblHeader w:val="false"/>
        </w:trPr>
        <w:tc>
          <w:tcPr>
            <w:tcW w:type="dxa" w:w="2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[Host or IP (role)]</w:t>
            </w:r>
          </w:p>
        </w:tc>
        <w:tc>
          <w:tcPr>
            <w:tcW w:type="dxa" w:w="1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[What the scanner reported]</w:t>
            </w:r>
          </w:p>
        </w:tc>
        <w:tc>
          <w:tcPr>
            <w:tcW w:type="dxa" w:w="34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[How it was checked]</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[False positive]</w:t>
            </w:r>
          </w:p>
        </w:tc>
      </w:tr>
    </w:tbl>
    <w:p>
      <w:pPr>
        <w:spacing w:after="0"/>
      </w:pPr>
      <w:r>
        <w:rPr>
          <w:rFonts w:ascii="Calibri" w:cs="Calibri" w:eastAsia="Calibri" w:hAnsi="Calibri"/>
        </w:rPr>
        <w:t xml:space="preserve"/>
      </w:r>
    </w:p>
    <w:p>
      <w:r>
        <w:rPr>
          <w:rFonts w:ascii="Calibri" w:cs="Calibri" w:eastAsia="Calibri" w:hAnsi="Calibri"/>
          <w:b/>
          <w:bCs/>
        </w:rPr>
        <w:t xml:space="preserve">Description: </w:t>
      </w:r>
      <w:r>
        <w:rPr>
          <w:rFonts w:ascii="Calibri" w:cs="Calibri" w:eastAsia="Calibri" w:hAnsi="Calibri"/>
        </w:rPr>
        <w:t xml:space="preserve">[What the weakness is, and which versions or settings are affected.]</w:t>
      </w:r>
    </w:p>
    <w:p>
      <w:r>
        <w:rPr>
          <w:rFonts w:ascii="Calibri" w:cs="Calibri" w:eastAsia="Calibri" w:hAnsi="Calibri"/>
          <w:b/>
          <w:bCs/>
        </w:rPr>
        <w:t xml:space="preserve">Validation notes: </w:t>
      </w:r>
      <w:r>
        <w:rPr>
          <w:rFonts w:ascii="Calibri" w:cs="Calibri" w:eastAsia="Calibri" w:hAnsi="Calibri"/>
        </w:rPr>
        <w:t xml:space="preserve">[How the finding was confirmed, or why a host is a false positive.]</w:t>
      </w:r>
    </w:p>
    <w:p>
      <w:r>
        <w:rPr>
          <w:rFonts w:ascii="Calibri" w:cs="Calibri" w:eastAsia="Calibri" w:hAnsi="Calibri"/>
          <w:b/>
          <w:bCs/>
        </w:rPr>
        <w:t xml:space="preserve">Exposure: </w:t>
      </w:r>
      <w:r>
        <w:rPr>
          <w:rFonts w:ascii="Calibri" w:cs="Calibri" w:eastAsia="Calibri" w:hAnsi="Calibri"/>
        </w:rPr>
        <w:t xml:space="preserve">[Internet-facing or internal. Which networks can reach it.]</w:t>
      </w:r>
    </w:p>
    <w:p>
      <w:r>
        <w:rPr>
          <w:rFonts w:ascii="Calibri" w:cs="Calibri" w:eastAsia="Calibri" w:hAnsi="Calibri"/>
          <w:b/>
          <w:bCs/>
        </w:rPr>
        <w:t xml:space="preserve">Business impact: </w:t>
      </w:r>
      <w:r>
        <w:rPr>
          <w:rFonts w:ascii="Calibri" w:cs="Calibri" w:eastAsia="Calibri" w:hAnsi="Calibri"/>
        </w:rPr>
        <w:t xml:space="preserve">[What the affected system does and what is at risk.]</w:t>
      </w:r>
    </w:p>
    <w:p>
      <w:r>
        <w:rPr>
          <w:rFonts w:ascii="Calibri" w:cs="Calibri" w:eastAsia="Calibri" w:hAnsi="Calibri"/>
          <w:b/>
          <w:bCs/>
        </w:rPr>
        <w:t xml:space="preserve">Remediation: </w:t>
      </w:r>
      <w:r>
        <w:rPr>
          <w:rFonts w:ascii="Calibri" w:cs="Calibri" w:eastAsia="Calibri" w:hAnsi="Calibri"/>
        </w:rPr>
        <w:t xml:space="preserve">[The fix, and a short-term mitigation if the fix will take time.]</w:t>
      </w:r>
    </w:p>
    <w:p>
      <w:r>
        <w:rPr>
          <w:rFonts w:ascii="Calibri" w:cs="Calibri" w:eastAsia="Calibri" w:hAnsi="Calibri"/>
          <w:b/>
          <w:bCs/>
        </w:rPr>
        <w:t xml:space="preserve">References: </w:t>
      </w:r>
      <w:r>
        <w:rPr>
          <w:rFonts w:ascii="Calibri" w:cs="Calibri" w:eastAsia="Calibri" w:hAnsi="Calibri"/>
        </w:rPr>
        <w:t xml:space="preserve">[Vendor advisory, NVD entry, CISA KEV entry if listed.]</w:t>
      </w:r>
    </w:p>
    <w:p>
      <w:r>
        <w:rPr>
          <w:rFonts w:ascii="Calibri" w:cs="Calibri" w:eastAsia="Calibri" w:hAnsi="Calibri"/>
          <w:b/>
          <w:bCs/>
        </w:rPr>
        <w:t xml:space="preserve">Rescan: </w:t>
      </w:r>
      <w:r>
        <w:rPr>
          <w:rFonts w:ascii="Calibri" w:cs="Calibri" w:eastAsia="Calibri" w:hAnsi="Calibri"/>
        </w:rPr>
        <w:t xml:space="preserve">[Fixed / Open], verified [date].</w:t>
      </w:r>
    </w:p>
    <w:p>
      <w:pPr>
        <w:pStyle w:val="Heading2"/>
        <w:pageBreakBefore/>
      </w:pPr>
      <w:r>
        <w:rPr>
          <w:rFonts w:ascii="Calibri" w:cs="Calibri" w:eastAsia="Calibri" w:hAnsi="Calibri"/>
        </w:rPr>
        <w:t xml:space="preserve">6.2 Example finding (delete before issuing)</w:t>
      </w:r>
    </w:p>
    <w:p>
      <w:pPr>
        <w:spacing w:after="120"/>
      </w:pPr>
      <w:r>
        <w:rPr>
          <w:rFonts w:ascii="Calibri" w:cs="Calibri" w:eastAsia="Calibri" w:hAnsi="Calibri"/>
          <w:i/>
          <w:iCs/>
          <w:color w:val="5A6A85"/>
        </w:rPr>
        <w:t xml:space="preserve">A filled-in entry for reference. The false-positive rows are the point: a raw export would have sent the Ubuntu team chasing two fixes they had already installed.</w:t>
      </w:r>
    </w:p>
    <w:p>
      <w:pPr>
        <w:pStyle w:val="Heading3"/>
      </w:pPr>
      <w:r>
        <w:rPr>
          <w:rFonts w:ascii="Calibri" w:cs="Calibri" w:eastAsia="Calibri" w:hAnsi="Calibri"/>
        </w:rPr>
        <w:t xml:space="preserve">VA-003 OpenSSH signal handler race condition (CVE-2024-6387)</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1000"/>
        <w:gridCol w:w="4660"/>
        <w:gridCol w:w="2500"/>
      </w:tblGrid>
      <w:tr>
        <w:trPr>
          <w:cantSplit/>
          <w:tblHeader/>
        </w:trPr>
        <w:tc>
          <w:tcPr>
            <w:tcW w:type="dxa" w:w="12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Severity</w:t>
            </w:r>
          </w:p>
        </w:tc>
        <w:tc>
          <w:tcPr>
            <w:tcW w:type="dxa" w:w="10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CVSS v3.1</w:t>
            </w:r>
          </w:p>
        </w:tc>
        <w:tc>
          <w:tcPr>
            <w:tcW w:type="dxa" w:w="46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Vector</w:t>
            </w:r>
          </w:p>
        </w:tc>
        <w:tc>
          <w:tcPr>
            <w:tcW w:type="dxa" w:w="25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Owner and due date</w:t>
            </w:r>
          </w:p>
        </w:tc>
      </w:tr>
      <w:tr>
        <w:trPr>
          <w:cantSplit/>
          <w:tblHeader w:val="false"/>
        </w:trPr>
        <w:tc>
          <w:tcPr>
            <w:tcW w:type="dxa" w:w="1200"/>
            <w:tcBorders>
              <w:top w:val="single" w:color="C9D3E0" w:sz="4"/>
              <w:left w:val="single" w:color="C9D3E0" w:sz="4"/>
              <w:bottom w:val="single" w:color="C9D3E0" w:sz="4"/>
              <w:right w:val="single" w:color="C9D3E0" w:sz="4"/>
            </w:tcBorders>
            <w:shd w:fill="FBE3CF" w:color="auto" w:val="clear"/>
            <w:tcMar>
              <w:top w:type="dxa" w:w="60"/>
              <w:left w:type="dxa" w:w="100"/>
              <w:bottom w:type="dxa" w:w="60"/>
              <w:right w:type="dxa" w:w="100"/>
            </w:tcMar>
            <w:vAlign w:val="top"/>
          </w:tcPr>
          <w:p>
            <w:pPr>
              <w:spacing w:after="0"/>
            </w:pPr>
            <w:r>
              <w:rPr>
                <w:rFonts w:ascii="Calibri" w:cs="Calibri" w:eastAsia="Calibri" w:hAnsi="Calibri"/>
                <w:sz w:val="19"/>
                <w:szCs w:val="19"/>
              </w:rPr>
              <w:t xml:space="preserve">High</w:t>
            </w:r>
          </w:p>
        </w:tc>
        <w:tc>
          <w:tcPr>
            <w:tcW w:type="dxa" w:w="1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8.1</w:t>
            </w:r>
          </w:p>
        </w:tc>
        <w:tc>
          <w:tcPr>
            <w:tcW w:type="dxa" w:w="4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CVSS:3.1/AV:N/AC:H/PR:N/UI:N/S:U/C:H/I:H/A:H</w:t>
            </w:r>
          </w:p>
        </w:tc>
        <w:tc>
          <w:tcPr>
            <w:tcW w:type="dxa" w:w="2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Infrastructure team, 30 days</w:t>
            </w:r>
          </w:p>
        </w:tc>
      </w:tr>
    </w:tbl>
    <w:p>
      <w:pPr>
        <w:spacing w:after="0"/>
      </w:pPr>
      <w:r>
        <w:rPr>
          <w:rFonts w:ascii="Calibri" w:cs="Calibri" w:eastAsia="Calibri" w:hAnsi="Calibri"/>
        </w:rPr>
        <w:t xml:space="preserve"/>
      </w:r>
    </w:p>
    <w:p>
      <w:pPr>
        <w:keepNext/>
        <w:spacing w:after="60"/>
      </w:pPr>
      <w:r>
        <w:rPr>
          <w:rFonts w:ascii="Calibri" w:cs="Calibri" w:eastAsia="Calibri" w:hAnsi="Calibri"/>
          <w:b/>
          <w:bCs/>
        </w:rPr>
        <w:t xml:space="preserve">Affected hosts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1900"/>
        <w:gridCol w:w="3460"/>
        <w:gridCol w:w="1500"/>
      </w:tblGrid>
      <w:tr>
        <w:trPr>
          <w:cantSplit/>
          <w:tblHeader/>
        </w:trPr>
        <w:tc>
          <w:tcPr>
            <w:tcW w:type="dxa" w:w="25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Host</w:t>
            </w:r>
          </w:p>
        </w:tc>
        <w:tc>
          <w:tcPr>
            <w:tcW w:type="dxa" w:w="19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Scanner result</w:t>
            </w:r>
          </w:p>
        </w:tc>
        <w:tc>
          <w:tcPr>
            <w:tcW w:type="dxa" w:w="34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Validation</w:t>
            </w:r>
          </w:p>
        </w:tc>
        <w:tc>
          <w:tcPr>
            <w:tcW w:type="dxa" w:w="15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Status</w:t>
            </w:r>
          </w:p>
        </w:tc>
      </w:tr>
      <w:tr>
        <w:trPr>
          <w:cantSplit/>
          <w:tblHeader w:val="false"/>
        </w:trPr>
        <w:tc>
          <w:tcPr>
            <w:tcW w:type="dxa" w:w="2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10.20.4.15 (build server)</w:t>
            </w:r>
          </w:p>
        </w:tc>
        <w:tc>
          <w:tcPr>
            <w:tcW w:type="dxa" w:w="1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OpenSSH 9.6p1</w:t>
            </w:r>
          </w:p>
        </w:tc>
        <w:tc>
          <w:tcPr>
            <w:tcW w:type="dxa" w:w="34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Authenticated check: OpenSSH 9.6p1 compiled from source, inside the affected range</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Confirmed</w:t>
            </w:r>
          </w:p>
        </w:tc>
      </w:tr>
      <w:tr>
        <w:trPr>
          <w:cantSplit/>
          <w:tblHeader w:val="false"/>
        </w:trPr>
        <w:tc>
          <w:tcPr>
            <w:tcW w:type="dxa" w:w="2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10.20.4.21 (Ubuntu 22.04)</w:t>
            </w:r>
          </w:p>
        </w:tc>
        <w:tc>
          <w:tcPr>
            <w:tcW w:type="dxa" w:w="1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OpenSSH 8.9p1</w:t>
            </w:r>
          </w:p>
        </w:tc>
        <w:tc>
          <w:tcPr>
            <w:tcW w:type="dxa" w:w="34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Authenticated check: package openssh-server 1:8.9p1-3ubuntu0.10, which includes the fix</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False positive</w:t>
            </w:r>
          </w:p>
        </w:tc>
      </w:tr>
      <w:tr>
        <w:trPr>
          <w:cantSplit/>
          <w:tblHeader w:val="false"/>
        </w:trPr>
        <w:tc>
          <w:tcPr>
            <w:tcW w:type="dxa" w:w="2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10.20.4.22 (Ubuntu 22.04)</w:t>
            </w:r>
          </w:p>
        </w:tc>
        <w:tc>
          <w:tcPr>
            <w:tcW w:type="dxa" w:w="1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OpenSSH 8.9p1</w:t>
            </w:r>
          </w:p>
        </w:tc>
        <w:tc>
          <w:tcPr>
            <w:tcW w:type="dxa" w:w="34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Same package version as 10.20.4.21</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False positive</w:t>
            </w:r>
          </w:p>
        </w:tc>
      </w:tr>
    </w:tbl>
    <w:p>
      <w:pPr>
        <w:spacing w:after="0"/>
      </w:pPr>
      <w:r>
        <w:rPr>
          <w:rFonts w:ascii="Calibri" w:cs="Calibri" w:eastAsia="Calibri" w:hAnsi="Calibri"/>
        </w:rPr>
        <w:t xml:space="preserve"/>
      </w:r>
    </w:p>
    <w:p>
      <w:r>
        <w:rPr>
          <w:rFonts w:ascii="Calibri" w:cs="Calibri" w:eastAsia="Calibri" w:hAnsi="Calibri"/>
          <w:b/>
          <w:bCs/>
        </w:rPr>
        <w:t xml:space="preserve">Description: </w:t>
      </w:r>
      <w:r>
        <w:rPr>
          <w:rFonts w:ascii="Calibri" w:cs="Calibri" w:eastAsia="Calibri" w:hAnsi="Calibri"/>
        </w:rPr>
        <w:t xml:space="preserve">A race condition in the OpenSSH server affects portable OpenSSH 8.5p1 through 9.7p1 and is fixed in 9.8p1. A remote attacker who succeeds could run code as root on the server.</w:t>
      </w:r>
    </w:p>
    <w:p>
      <w:r>
        <w:rPr>
          <w:rFonts w:ascii="Calibri" w:cs="Calibri" w:eastAsia="Calibri" w:hAnsi="Calibri"/>
          <w:b/>
          <w:bCs/>
        </w:rPr>
        <w:t xml:space="preserve">Validation notes: </w:t>
      </w:r>
      <w:r>
        <w:rPr>
          <w:rFonts w:ascii="Calibri" w:cs="Calibri" w:eastAsia="Calibri" w:hAnsi="Calibri"/>
        </w:rPr>
        <w:t xml:space="preserve">The scanner read the version from the SSH banner. On Ubuntu, the fix ships in a patched package that keeps the upstream version number, so the banner still says 8.9p1. The authenticated package check shows the fixed build from USN-6859-1, so both Ubuntu hosts are false positives. The build server runs a version compiled from source, and no distribution fix applies to it. The finding was confirmed by version and not exploited.</w:t>
      </w:r>
    </w:p>
    <w:p>
      <w:r>
        <w:rPr>
          <w:rFonts w:ascii="Calibri" w:cs="Calibri" w:eastAsia="Calibri" w:hAnsi="Calibri"/>
          <w:b/>
          <w:bCs/>
        </w:rPr>
        <w:t xml:space="preserve">Exposure: </w:t>
      </w:r>
      <w:r>
        <w:rPr>
          <w:rFonts w:ascii="Calibri" w:cs="Calibri" w:eastAsia="Calibri" w:hAnsi="Calibri"/>
        </w:rPr>
        <w:t xml:space="preserve">SSH on the build server is reachable from the internal server network only. The external scan confirmed it is not exposed to the internet.</w:t>
      </w:r>
    </w:p>
    <w:p>
      <w:r>
        <w:rPr>
          <w:rFonts w:ascii="Calibri" w:cs="Calibri" w:eastAsia="Calibri" w:hAnsi="Calibri"/>
          <w:b/>
          <w:bCs/>
        </w:rPr>
        <w:t xml:space="preserve">Business impact: </w:t>
      </w:r>
      <w:r>
        <w:rPr>
          <w:rFonts w:ascii="Calibri" w:cs="Calibri" w:eastAsia="Calibri" w:hAnsi="Calibri"/>
        </w:rPr>
        <w:t xml:space="preserve">The build server has access to source code and deployment credentials. Code execution as root there would put the release pipeline at risk.</w:t>
      </w:r>
    </w:p>
    <w:p>
      <w:r>
        <w:rPr>
          <w:rFonts w:ascii="Calibri" w:cs="Calibri" w:eastAsia="Calibri" w:hAnsi="Calibri"/>
          <w:b/>
          <w:bCs/>
        </w:rPr>
        <w:t xml:space="preserve">Remediation: </w:t>
      </w:r>
      <w:r>
        <w:rPr>
          <w:rFonts w:ascii="Calibri" w:cs="Calibri" w:eastAsia="Calibri" w:hAnsi="Calibri"/>
        </w:rPr>
        <w:t xml:space="preserve">Upgrade OpenSSH on the build server to 9.8p1 or later, or replace the source build with the distribution package so future fixes arrive through normal patching. Until then, limit SSH on this host to the admin jump host.</w:t>
      </w:r>
    </w:p>
    <w:p>
      <w:r>
        <w:rPr>
          <w:rFonts w:ascii="Calibri" w:cs="Calibri" w:eastAsia="Calibri" w:hAnsi="Calibri"/>
          <w:b/>
          <w:bCs/>
        </w:rPr>
        <w:t xml:space="preserve">References: </w:t>
      </w:r>
      <w:r>
        <w:rPr>
          <w:rFonts w:ascii="Calibri" w:cs="Calibri" w:eastAsia="Calibri" w:hAnsi="Calibri"/>
        </w:rPr>
        <w:t xml:space="preserve">NVD CVE-2024-6387 (nvd.nist.gov/vuln/detail/CVE-2024-6387); OpenSSH 9.8 release notes (openssh.org/txt/release-9.8); Ubuntu USN-6859-1 (ubuntu.com/security/notices/USN-6859-1).</w:t>
      </w:r>
    </w:p>
    <w:p>
      <w:r>
        <w:rPr>
          <w:rFonts w:ascii="Calibri" w:cs="Calibri" w:eastAsia="Calibri" w:hAnsi="Calibri"/>
          <w:b/>
          <w:bCs/>
        </w:rPr>
        <w:t xml:space="preserve">Rescan: </w:t>
      </w:r>
      <w:r>
        <w:rPr>
          <w:rFonts w:ascii="Calibri" w:cs="Calibri" w:eastAsia="Calibri" w:hAnsi="Calibri"/>
        </w:rPr>
        <w:t xml:space="preserve">[Fixed / Open], verified [date].</w:t>
      </w:r>
    </w:p>
    <w:p>
      <w:pPr>
        <w:pStyle w:val="Heading1"/>
        <w:pageBreakBefore/>
      </w:pPr>
      <w:r>
        <w:rPr>
          <w:rFonts w:ascii="Calibri" w:cs="Calibri" w:eastAsia="Calibri" w:hAnsi="Calibri"/>
        </w:rPr>
        <w:t xml:space="preserve">7. Risk ranking and remediation plan</w:t>
      </w:r>
    </w:p>
    <w:p>
      <w:r>
        <w:rPr>
          <w:rFonts w:ascii="Calibri" w:cs="Calibri" w:eastAsia="Calibri" w:hAnsi="Calibri"/>
        </w:rPr>
        <w:t xml:space="preserve">CVSS is a starting point, not the order of work. Findings are ranked on four things:</w:t>
      </w:r>
    </w:p>
    <w:p>
      <w:pPr>
        <w:pStyle w:val="ListParagraph"/>
        <w:numPr>
          <w:ilvl w:val="0"/>
          <w:numId w:val="3"/>
        </w:numPr>
        <w:spacing w:after="60"/>
      </w:pPr>
      <w:r>
        <w:rPr>
          <w:rFonts w:ascii="Calibri" w:cs="Calibri" w:eastAsia="Calibri" w:hAnsi="Calibri"/>
          <w:b/>
          <w:bCs/>
        </w:rPr>
        <w:t xml:space="preserve">Severity: </w:t>
      </w:r>
      <w:r>
        <w:rPr>
          <w:rFonts w:ascii="Calibri" w:cs="Calibri" w:eastAsia="Calibri" w:hAnsi="Calibri"/>
        </w:rPr>
        <w:t xml:space="preserve">the CVSS base score.</w:t>
      </w:r>
    </w:p>
    <w:p>
      <w:pPr>
        <w:pStyle w:val="ListParagraph"/>
        <w:numPr>
          <w:ilvl w:val="0"/>
          <w:numId w:val="3"/>
        </w:numPr>
        <w:spacing w:after="60"/>
      </w:pPr>
      <w:r>
        <w:rPr>
          <w:rFonts w:ascii="Calibri" w:cs="Calibri" w:eastAsia="Calibri" w:hAnsi="Calibri"/>
          <w:b/>
          <w:bCs/>
        </w:rPr>
        <w:t xml:space="preserve">Known exploitation: </w:t>
      </w:r>
      <w:r>
        <w:rPr>
          <w:rFonts w:ascii="Calibri" w:cs="Calibri" w:eastAsia="Calibri" w:hAnsi="Calibri"/>
        </w:rPr>
        <w:t xml:space="preserve">whether the CVE is on the CISA Known Exploited Vulnerabilities (KEV) catalog. A listed vulnerability goes to the top.</w:t>
      </w:r>
    </w:p>
    <w:p>
      <w:pPr>
        <w:pStyle w:val="ListParagraph"/>
        <w:numPr>
          <w:ilvl w:val="0"/>
          <w:numId w:val="3"/>
        </w:numPr>
        <w:spacing w:after="60"/>
      </w:pPr>
      <w:r>
        <w:rPr>
          <w:rFonts w:ascii="Calibri" w:cs="Calibri" w:eastAsia="Calibri" w:hAnsi="Calibri"/>
          <w:b/>
          <w:bCs/>
        </w:rPr>
        <w:t xml:space="preserve">Exposure: </w:t>
      </w:r>
      <w:r>
        <w:rPr>
          <w:rFonts w:ascii="Calibri" w:cs="Calibri" w:eastAsia="Calibri" w:hAnsi="Calibri"/>
        </w:rPr>
        <w:t xml:space="preserve">internet-facing hosts before internal ones.</w:t>
      </w:r>
    </w:p>
    <w:p>
      <w:pPr>
        <w:pStyle w:val="ListParagraph"/>
        <w:numPr>
          <w:ilvl w:val="0"/>
          <w:numId w:val="3"/>
        </w:numPr>
        <w:spacing w:after="60"/>
      </w:pPr>
      <w:r>
        <w:rPr>
          <w:rFonts w:ascii="Calibri" w:cs="Calibri" w:eastAsia="Calibri" w:hAnsi="Calibri"/>
          <w:b/>
          <w:bCs/>
        </w:rPr>
        <w:t xml:space="preserve">Asset value: </w:t>
      </w:r>
      <w:r>
        <w:rPr>
          <w:rFonts w:ascii="Calibri" w:cs="Calibri" w:eastAsia="Calibri" w:hAnsi="Calibri"/>
        </w:rPr>
        <w:t xml:space="preserve">systems that hold sensitive data, credentials or payment data before the rest.</w:t>
      </w:r>
    </w:p>
    <w:p>
      <w:pPr>
        <w:pStyle w:val="Heading2"/>
      </w:pPr>
      <w:r>
        <w:rPr>
          <w:rFonts w:ascii="Calibri" w:cs="Calibri" w:eastAsia="Calibri" w:hAnsi="Calibri"/>
        </w:rPr>
        <w:t xml:space="preserve">7.1 Target fix times</w:t>
      </w:r>
    </w:p>
    <w:p>
      <w:pPr>
        <w:spacing w:after="120"/>
      </w:pPr>
      <w:r>
        <w:rPr>
          <w:rFonts w:ascii="Calibri" w:cs="Calibri" w:eastAsia="Calibri" w:hAnsi="Calibri"/>
          <w:i/>
          <w:iCs/>
          <w:color w:val="5A6A85"/>
        </w:rPr>
        <w:t xml:space="preserve">Set your own targets, but put them in writing so the rescan can measure against them.</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4680"/>
      </w:tblGrid>
      <w:tr>
        <w:trPr>
          <w:cantSplit/>
          <w:tblHeader/>
        </w:trPr>
        <w:tc>
          <w:tcPr>
            <w:tcW w:type="dxa" w:w="468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Severity</w:t>
            </w:r>
          </w:p>
        </w:tc>
        <w:tc>
          <w:tcPr>
            <w:tcW w:type="dxa" w:w="468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Target fix time</w:t>
            </w:r>
          </w:p>
        </w:tc>
      </w:tr>
      <w:tr>
        <w:trPr>
          <w:cantSplit/>
          <w:tblHeader w:val="false"/>
        </w:trPr>
        <w:tc>
          <w:tcPr>
            <w:tcW w:type="dxa" w:w="4680"/>
            <w:tcBorders>
              <w:top w:val="single" w:color="C9D3E0" w:sz="4"/>
              <w:left w:val="single" w:color="C9D3E0" w:sz="4"/>
              <w:bottom w:val="single" w:color="C9D3E0" w:sz="4"/>
              <w:right w:val="single" w:color="C9D3E0" w:sz="4"/>
            </w:tcBorders>
            <w:shd w:fill="F6D5D1" w:color="auto" w:val="clear"/>
            <w:tcMar>
              <w:top w:type="dxa" w:w="60"/>
              <w:left w:type="dxa" w:w="100"/>
              <w:bottom w:type="dxa" w:w="60"/>
              <w:right w:type="dxa" w:w="100"/>
            </w:tcMar>
            <w:vAlign w:val="top"/>
          </w:tcPr>
          <w:p>
            <w:pPr>
              <w:spacing w:after="0"/>
            </w:pPr>
            <w:r>
              <w:rPr>
                <w:rFonts w:ascii="Calibri" w:cs="Calibri" w:eastAsia="Calibri" w:hAnsi="Calibri"/>
                <w:sz w:val="19"/>
                <w:szCs w:val="19"/>
              </w:rPr>
              <w:t xml:space="preserve">Critical, or on the KEV catalog</w:t>
            </w:r>
          </w:p>
        </w:tc>
        <w:tc>
          <w:tcPr>
            <w:tcW w:type="dxa" w:w="468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[15 days]</w:t>
            </w:r>
          </w:p>
        </w:tc>
      </w:tr>
      <w:tr>
        <w:trPr>
          <w:cantSplit/>
          <w:tblHeader w:val="false"/>
        </w:trPr>
        <w:tc>
          <w:tcPr>
            <w:tcW w:type="dxa" w:w="4680"/>
            <w:tcBorders>
              <w:top w:val="single" w:color="C9D3E0" w:sz="4"/>
              <w:left w:val="single" w:color="C9D3E0" w:sz="4"/>
              <w:bottom w:val="single" w:color="C9D3E0" w:sz="4"/>
              <w:right w:val="single" w:color="C9D3E0" w:sz="4"/>
            </w:tcBorders>
            <w:shd w:fill="FBE3CF" w:color="auto" w:val="clear"/>
            <w:tcMar>
              <w:top w:type="dxa" w:w="60"/>
              <w:left w:type="dxa" w:w="100"/>
              <w:bottom w:type="dxa" w:w="60"/>
              <w:right w:type="dxa" w:w="100"/>
            </w:tcMar>
            <w:vAlign w:val="top"/>
          </w:tcPr>
          <w:p>
            <w:pPr>
              <w:spacing w:after="0"/>
            </w:pPr>
            <w:r>
              <w:rPr>
                <w:rFonts w:ascii="Calibri" w:cs="Calibri" w:eastAsia="Calibri" w:hAnsi="Calibri"/>
                <w:sz w:val="19"/>
                <w:szCs w:val="19"/>
              </w:rPr>
              <w:t xml:space="preserve">High</w:t>
            </w:r>
          </w:p>
        </w:tc>
        <w:tc>
          <w:tcPr>
            <w:tcW w:type="dxa" w:w="468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[30 days]</w:t>
            </w:r>
          </w:p>
        </w:tc>
      </w:tr>
      <w:tr>
        <w:trPr>
          <w:cantSplit/>
          <w:tblHeader w:val="false"/>
        </w:trPr>
        <w:tc>
          <w:tcPr>
            <w:tcW w:type="dxa" w:w="4680"/>
            <w:tcBorders>
              <w:top w:val="single" w:color="C9D3E0" w:sz="4"/>
              <w:left w:val="single" w:color="C9D3E0" w:sz="4"/>
              <w:bottom w:val="single" w:color="C9D3E0" w:sz="4"/>
              <w:right w:val="single" w:color="C9D3E0" w:sz="4"/>
            </w:tcBorders>
            <w:shd w:fill="FFF1C7" w:color="auto" w:val="clear"/>
            <w:tcMar>
              <w:top w:type="dxa" w:w="60"/>
              <w:left w:type="dxa" w:w="100"/>
              <w:bottom w:type="dxa" w:w="60"/>
              <w:right w:type="dxa" w:w="100"/>
            </w:tcMar>
            <w:vAlign w:val="top"/>
          </w:tcPr>
          <w:p>
            <w:pPr>
              <w:spacing w:after="0"/>
            </w:pPr>
            <w:r>
              <w:rPr>
                <w:rFonts w:ascii="Calibri" w:cs="Calibri" w:eastAsia="Calibri" w:hAnsi="Calibri"/>
                <w:sz w:val="19"/>
                <w:szCs w:val="19"/>
              </w:rPr>
              <w:t xml:space="preserve">Medium</w:t>
            </w:r>
          </w:p>
        </w:tc>
        <w:tc>
          <w:tcPr>
            <w:tcW w:type="dxa" w:w="468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[90 days]</w:t>
            </w:r>
          </w:p>
        </w:tc>
      </w:tr>
      <w:tr>
        <w:trPr>
          <w:cantSplit/>
          <w:tblHeader w:val="false"/>
        </w:trPr>
        <w:tc>
          <w:tcPr>
            <w:tcW w:type="dxa" w:w="4680"/>
            <w:tcBorders>
              <w:top w:val="single" w:color="C9D3E0" w:sz="4"/>
              <w:left w:val="single" w:color="C9D3E0" w:sz="4"/>
              <w:bottom w:val="single" w:color="C9D3E0" w:sz="4"/>
              <w:right w:val="single" w:color="C9D3E0" w:sz="4"/>
            </w:tcBorders>
            <w:shd w:fill="DDEBF8" w:color="auto" w:val="clear"/>
            <w:tcMar>
              <w:top w:type="dxa" w:w="60"/>
              <w:left w:type="dxa" w:w="100"/>
              <w:bottom w:type="dxa" w:w="60"/>
              <w:right w:type="dxa" w:w="100"/>
            </w:tcMar>
            <w:vAlign w:val="top"/>
          </w:tcPr>
          <w:p>
            <w:pPr>
              <w:spacing w:after="0"/>
            </w:pPr>
            <w:r>
              <w:rPr>
                <w:rFonts w:ascii="Calibri" w:cs="Calibri" w:eastAsia="Calibri" w:hAnsi="Calibri"/>
                <w:sz w:val="19"/>
                <w:szCs w:val="19"/>
              </w:rPr>
              <w:t xml:space="preserve">Low</w:t>
            </w:r>
          </w:p>
        </w:tc>
        <w:tc>
          <w:tcPr>
            <w:tcW w:type="dxa" w:w="468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[Next maintenance cycle]</w:t>
            </w:r>
          </w:p>
        </w:tc>
      </w:tr>
    </w:tbl>
    <w:p>
      <w:pPr>
        <w:pStyle w:val="Heading2"/>
      </w:pPr>
      <w:r>
        <w:rPr>
          <w:rFonts w:ascii="Calibri" w:cs="Calibri" w:eastAsia="Calibri" w:hAnsi="Calibri"/>
        </w:rPr>
        <w:t xml:space="preserve">7.2 Remediation plan</w:t>
      </w:r>
    </w:p>
    <w:p>
      <w:pPr>
        <w:spacing w:after="120"/>
      </w:pPr>
      <w:r>
        <w:rPr>
          <w:rFonts w:ascii="Calibri" w:cs="Calibri" w:eastAsia="Calibri" w:hAnsi="Calibri"/>
          <w:i/>
          <w:iCs/>
          <w:color w:val="5A6A85"/>
        </w:rPr>
        <w:t xml:space="preserve">Group findings by the fix, so one change can close many rows.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060"/>
        <w:gridCol w:w="1700"/>
        <w:gridCol w:w="1400"/>
        <w:gridCol w:w="1200"/>
        <w:gridCol w:w="1100"/>
      </w:tblGrid>
      <w:tr>
        <w:trPr>
          <w:cantSplit/>
          <w:tblHeader/>
        </w:trPr>
        <w:tc>
          <w:tcPr>
            <w:tcW w:type="dxa" w:w="9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Priority</w:t>
            </w:r>
          </w:p>
        </w:tc>
        <w:tc>
          <w:tcPr>
            <w:tcW w:type="dxa" w:w="30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Action</w:t>
            </w:r>
          </w:p>
        </w:tc>
        <w:tc>
          <w:tcPr>
            <w:tcW w:type="dxa" w:w="17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Findings closed</w:t>
            </w:r>
          </w:p>
        </w:tc>
        <w:tc>
          <w:tcPr>
            <w:tcW w:type="dxa" w:w="14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Owner</w:t>
            </w:r>
          </w:p>
        </w:tc>
        <w:tc>
          <w:tcPr>
            <w:tcW w:type="dxa" w:w="12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Target date</w:t>
            </w:r>
          </w:p>
        </w:tc>
        <w:tc>
          <w:tcPr>
            <w:tcW w:type="dxa" w:w="11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Status</w:t>
            </w:r>
          </w:p>
        </w:tc>
      </w:tr>
      <w:tr>
        <w:trPr>
          <w:cantSplit/>
          <w:tblHeader w:val="false"/>
        </w:trPr>
        <w:tc>
          <w:tcPr>
            <w:tcW w:type="dxa" w:w="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1</w:t>
            </w:r>
          </w:p>
        </w:tc>
        <w:tc>
          <w:tcPr>
            <w:tcW w:type="dxa" w:w="30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[Action]</w:t>
            </w:r>
          </w:p>
        </w:tc>
        <w:tc>
          <w:tcPr>
            <w:tcW w:type="dxa" w:w="1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[VA-001, VA-004]</w:t>
            </w:r>
          </w:p>
        </w:tc>
        <w:tc>
          <w:tcPr>
            <w:tcW w:type="dxa" w:w="14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[Team]</w:t>
            </w:r>
          </w:p>
        </w:tc>
        <w:tc>
          <w:tcPr>
            <w:tcW w:type="dxa" w:w="12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c>
          <w:tcPr>
            <w:tcW w:type="dxa" w:w="11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[Open]</w:t>
            </w:r>
          </w:p>
        </w:tc>
      </w:tr>
      <w:tr>
        <w:trPr>
          <w:cantSplit/>
          <w:tblHeader w:val="false"/>
        </w:trPr>
        <w:tc>
          <w:tcPr>
            <w:tcW w:type="dxa" w:w="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2</w:t>
            </w:r>
          </w:p>
        </w:tc>
        <w:tc>
          <w:tcPr>
            <w:tcW w:type="dxa" w:w="30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[Action]</w:t>
            </w:r>
          </w:p>
        </w:tc>
        <w:tc>
          <w:tcPr>
            <w:tcW w:type="dxa" w:w="1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[VA-002]</w:t>
            </w:r>
          </w:p>
        </w:tc>
        <w:tc>
          <w:tcPr>
            <w:tcW w:type="dxa" w:w="14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[Team]</w:t>
            </w:r>
          </w:p>
        </w:tc>
        <w:tc>
          <w:tcPr>
            <w:tcW w:type="dxa" w:w="12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c>
          <w:tcPr>
            <w:tcW w:type="dxa" w:w="11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[Open]</w:t>
            </w:r>
          </w:p>
        </w:tc>
      </w:tr>
      <w:tr>
        <w:trPr>
          <w:cantSplit/>
          <w:tblHeader w:val="false"/>
        </w:trPr>
        <w:tc>
          <w:tcPr>
            <w:tcW w:type="dxa" w:w="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3</w:t>
            </w:r>
          </w:p>
        </w:tc>
        <w:tc>
          <w:tcPr>
            <w:tcW w:type="dxa" w:w="30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[Action]</w:t>
            </w:r>
          </w:p>
        </w:tc>
        <w:tc>
          <w:tcPr>
            <w:tcW w:type="dxa" w:w="1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[VA-003]</w:t>
            </w:r>
          </w:p>
        </w:tc>
        <w:tc>
          <w:tcPr>
            <w:tcW w:type="dxa" w:w="14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[Team]</w:t>
            </w:r>
          </w:p>
        </w:tc>
        <w:tc>
          <w:tcPr>
            <w:tcW w:type="dxa" w:w="12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c>
          <w:tcPr>
            <w:tcW w:type="dxa" w:w="11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[Open]</w:t>
            </w:r>
          </w:p>
        </w:tc>
      </w:tr>
    </w:tbl>
    <w:p>
      <w:pPr>
        <w:pStyle w:val="Heading1"/>
        <w:pageBreakBefore/>
      </w:pPr>
      <w:r>
        <w:rPr>
          <w:rFonts w:ascii="Calibri" w:cs="Calibri" w:eastAsia="Calibri" w:hAnsi="Calibri"/>
        </w:rPr>
        <w:t xml:space="preserve">8. Rescan results</w:t>
      </w:r>
    </w:p>
    <w:p>
      <w:r>
        <w:rPr>
          <w:rFonts w:ascii="Calibri" w:cs="Calibri" w:eastAsia="Calibri" w:hAnsi="Calibri"/>
        </w:rPr>
        <w:t xml:space="preserve">After the fixes, the affected hosts were rescanned. Each finding keeps its original entry, with the result added here, so the report shows both the problem and its closure.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2200"/>
        <w:gridCol w:w="1400"/>
        <w:gridCol w:w="1300"/>
        <w:gridCol w:w="1500"/>
        <w:gridCol w:w="2060"/>
      </w:tblGrid>
      <w:tr>
        <w:trPr>
          <w:cantSplit/>
          <w:tblHeader/>
        </w:trPr>
        <w:tc>
          <w:tcPr>
            <w:tcW w:type="dxa" w:w="9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ID</w:t>
            </w:r>
          </w:p>
        </w:tc>
        <w:tc>
          <w:tcPr>
            <w:tcW w:type="dxa" w:w="22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Finding</w:t>
            </w:r>
          </w:p>
        </w:tc>
        <w:tc>
          <w:tcPr>
            <w:tcW w:type="dxa" w:w="14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Original status</w:t>
            </w:r>
          </w:p>
        </w:tc>
        <w:tc>
          <w:tcPr>
            <w:tcW w:type="dxa" w:w="13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Rescan date</w:t>
            </w:r>
          </w:p>
        </w:tc>
        <w:tc>
          <w:tcPr>
            <w:tcW w:type="dxa" w:w="15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Result</w:t>
            </w:r>
          </w:p>
        </w:tc>
        <w:tc>
          <w:tcPr>
            <w:tcW w:type="dxa" w:w="20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Notes</w:t>
            </w:r>
          </w:p>
        </w:tc>
      </w:tr>
      <w:tr>
        <w:trPr>
          <w:cantSplit/>
          <w:tblHeader w:val="false"/>
        </w:trPr>
        <w:tc>
          <w:tcPr>
            <w:tcW w:type="dxa" w:w="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VA-001</w:t>
            </w:r>
          </w:p>
        </w:tc>
        <w:tc>
          <w:tcPr>
            <w:tcW w:type="dxa" w:w="22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[Title]</w:t>
            </w:r>
          </w:p>
        </w:tc>
        <w:tc>
          <w:tcPr>
            <w:tcW w:type="dxa" w:w="14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[Confirmed]</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[Fixed / Open]</w:t>
            </w:r>
          </w:p>
        </w:tc>
        <w:tc>
          <w:tcPr>
            <w:tcW w:type="dxa" w:w="20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VA-002</w:t>
            </w:r>
          </w:p>
        </w:tc>
        <w:tc>
          <w:tcPr>
            <w:tcW w:type="dxa" w:w="22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[Title]</w:t>
            </w:r>
          </w:p>
        </w:tc>
        <w:tc>
          <w:tcPr>
            <w:tcW w:type="dxa" w:w="14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[Confirmed]</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[Fixed / Open]</w:t>
            </w:r>
          </w:p>
        </w:tc>
        <w:tc>
          <w:tcPr>
            <w:tcW w:type="dxa" w:w="20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VA-003</w:t>
            </w:r>
          </w:p>
        </w:tc>
        <w:tc>
          <w:tcPr>
            <w:tcW w:type="dxa" w:w="22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[Title]</w:t>
            </w:r>
          </w:p>
        </w:tc>
        <w:tc>
          <w:tcPr>
            <w:tcW w:type="dxa" w:w="14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[Confirmed]</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[Fixed / Open]</w:t>
            </w:r>
          </w:p>
        </w:tc>
        <w:tc>
          <w:tcPr>
            <w:tcW w:type="dxa" w:w="20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bl>
    <w:p>
      <w:pPr>
        <w:pStyle w:val="Heading1"/>
        <w:pageBreakBefore/>
      </w:pPr>
      <w:r>
        <w:rPr>
          <w:rFonts w:ascii="Calibri" w:cs="Calibri" w:eastAsia="Calibri" w:hAnsi="Calibri"/>
        </w:rPr>
        <w:t xml:space="preserve">9. Appendices</w:t>
      </w:r>
    </w:p>
    <w:p>
      <w:pPr>
        <w:spacing w:after="120"/>
      </w:pPr>
      <w:r>
        <w:rPr>
          <w:rFonts w:ascii="Calibri" w:cs="Calibri" w:eastAsia="Calibri" w:hAnsi="Calibri"/>
          <w:i/>
          <w:iCs/>
          <w:color w:val="5A6A85"/>
        </w:rPr>
        <w:t xml:space="preserve">The raw export belongs at the back, never in place of the validated findings.</w:t>
      </w:r>
    </w:p>
    <w:p>
      <w:pPr>
        <w:pStyle w:val="Heading2"/>
      </w:pPr>
      <w:r>
        <w:rPr>
          <w:rFonts w:ascii="Calibri" w:cs="Calibri" w:eastAsia="Calibri" w:hAnsi="Calibri"/>
        </w:rPr>
        <w:t xml:space="preserve">Appendix A. Host 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1700"/>
        <w:gridCol w:w="1900"/>
        <w:gridCol w:w="1900"/>
        <w:gridCol w:w="1860"/>
      </w:tblGrid>
      <w:tr>
        <w:trPr>
          <w:cantSplit/>
          <w:tblHeader/>
        </w:trPr>
        <w:tc>
          <w:tcPr>
            <w:tcW w:type="dxa" w:w="20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Host</w:t>
            </w:r>
          </w:p>
        </w:tc>
        <w:tc>
          <w:tcPr>
            <w:tcW w:type="dxa" w:w="17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IP address</w:t>
            </w:r>
          </w:p>
        </w:tc>
        <w:tc>
          <w:tcPr>
            <w:tcW w:type="dxa" w:w="19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Operating system</w:t>
            </w:r>
          </w:p>
        </w:tc>
        <w:tc>
          <w:tcPr>
            <w:tcW w:type="dxa" w:w="19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Role</w:t>
            </w:r>
          </w:p>
        </w:tc>
        <w:tc>
          <w:tcPr>
            <w:tcW w:type="dxa" w:w="18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Authenticated scan</w:t>
            </w:r>
          </w:p>
        </w:tc>
      </w:tr>
      <w:tr>
        <w:trPr>
          <w:cantSplit/>
          <w:tblHeader w:val="false"/>
        </w:trPr>
        <w:tc>
          <w:tcPr>
            <w:tcW w:type="dxa" w:w="2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[Hostname]</w:t>
            </w:r>
          </w:p>
        </w:tc>
        <w:tc>
          <w:tcPr>
            <w:tcW w:type="dxa" w:w="1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[IP]</w:t>
            </w:r>
          </w:p>
        </w:tc>
        <w:tc>
          <w:tcPr>
            <w:tcW w:type="dxa" w:w="1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[OS and version]</w:t>
            </w:r>
          </w:p>
        </w:tc>
        <w:tc>
          <w:tcPr>
            <w:tcW w:type="dxa" w:w="1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[Role]</w:t>
            </w:r>
          </w:p>
        </w:tc>
        <w:tc>
          <w:tcPr>
            <w:tcW w:type="dxa" w:w="18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[Yes / No: reason]</w:t>
            </w:r>
          </w:p>
        </w:tc>
      </w:tr>
      <w:tr>
        <w:trPr>
          <w:cantSplit/>
          <w:tblHeader w:val="false"/>
        </w:trPr>
        <w:tc>
          <w:tcPr>
            <w:tcW w:type="dxa" w:w="20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[Hostname]</w:t>
            </w:r>
          </w:p>
        </w:tc>
        <w:tc>
          <w:tcPr>
            <w:tcW w:type="dxa" w:w="17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[IP]</w:t>
            </w:r>
          </w:p>
        </w:tc>
        <w:tc>
          <w:tcPr>
            <w:tcW w:type="dxa" w:w="1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[OS and version]</w:t>
            </w:r>
          </w:p>
        </w:tc>
        <w:tc>
          <w:tcPr>
            <w:tcW w:type="dxa" w:w="19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[Role]</w:t>
            </w:r>
          </w:p>
        </w:tc>
        <w:tc>
          <w:tcPr>
            <w:tcW w:type="dxa" w:w="18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[Yes / No: reason]</w:t>
            </w:r>
          </w:p>
        </w:tc>
      </w:tr>
    </w:tbl>
    <w:p>
      <w:pPr>
        <w:pStyle w:val="Heading2"/>
      </w:pPr>
      <w:r>
        <w:rPr>
          <w:rFonts w:ascii="Calibri" w:cs="Calibri" w:eastAsia="Calibri" w:hAnsi="Calibri"/>
        </w:rPr>
        <w:t xml:space="preserve">Appendix B. Open ports and services by host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1500"/>
        <w:gridCol w:w="2300"/>
        <w:gridCol w:w="1500"/>
        <w:gridCol w:w="1860"/>
      </w:tblGrid>
      <w:tr>
        <w:trPr>
          <w:cantSplit/>
          <w:tblHeader/>
        </w:trPr>
        <w:tc>
          <w:tcPr>
            <w:tcW w:type="dxa" w:w="22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Host</w:t>
            </w:r>
          </w:p>
        </w:tc>
        <w:tc>
          <w:tcPr>
            <w:tcW w:type="dxa" w:w="15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Port / protocol</w:t>
            </w:r>
          </w:p>
        </w:tc>
        <w:tc>
          <w:tcPr>
            <w:tcW w:type="dxa" w:w="23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Service and version</w:t>
            </w:r>
          </w:p>
        </w:tc>
        <w:tc>
          <w:tcPr>
            <w:tcW w:type="dxa" w:w="15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Expected?</w:t>
            </w:r>
          </w:p>
        </w:tc>
        <w:tc>
          <w:tcPr>
            <w:tcW w:type="dxa" w:w="18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Notes</w:t>
            </w:r>
          </w:p>
        </w:tc>
      </w:tr>
      <w:tr>
        <w:trPr>
          <w:cantSplit/>
          <w:tblHeader w:val="false"/>
        </w:trPr>
        <w:tc>
          <w:tcPr>
            <w:tcW w:type="dxa" w:w="22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[Host]</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[443/tcp]</w:t>
            </w:r>
          </w:p>
        </w:tc>
        <w:tc>
          <w:tcPr>
            <w:tcW w:type="dxa" w:w="2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[Service]</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[Yes / No]</w:t>
            </w:r>
          </w:p>
        </w:tc>
        <w:tc>
          <w:tcPr>
            <w:tcW w:type="dxa" w:w="18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22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[Host]</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[22/tcp]</w:t>
            </w:r>
          </w:p>
        </w:tc>
        <w:tc>
          <w:tcPr>
            <w:tcW w:type="dxa" w:w="2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[Service]</w:t>
            </w:r>
          </w:p>
        </w:tc>
        <w:tc>
          <w:tcPr>
            <w:tcW w:type="dxa" w:w="15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[Yes / No]</w:t>
            </w:r>
          </w:p>
        </w:tc>
        <w:tc>
          <w:tcPr>
            <w:tcW w:type="dxa" w:w="18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bl>
    <w:p>
      <w:pPr>
        <w:pStyle w:val="Heading2"/>
      </w:pPr>
      <w:r>
        <w:rPr>
          <w:rFonts w:ascii="Calibri" w:cs="Calibri" w:eastAsia="Calibri" w:hAnsi="Calibri"/>
        </w:rPr>
        <w:t xml:space="preserve">Appendix C. Scanner configuration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660"/>
      </w:tblGrid>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Scanner and version</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[Name, version]</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Scan policy</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[Policy name and main settings]</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Feed date</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[Date]</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Credentials used</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[Account types used, never the secrets]</w:t>
            </w:r>
          </w:p>
        </w:tc>
      </w:tr>
      <w:tr>
        <w:trPr>
          <w:cantSplit/>
          <w:tblHeader w:val="false"/>
        </w:trPr>
        <w:tc>
          <w:tcPr>
            <w:tcW w:type="dxa" w:w="2700"/>
            <w:tcBorders>
              <w:top w:val="single" w:color="C9D3E0" w:sz="4"/>
              <w:left w:val="single" w:color="C9D3E0" w:sz="4"/>
              <w:bottom w:val="single" w:color="C9D3E0" w:sz="4"/>
              <w:right w:val="single" w:color="C9D3E0" w:sz="4"/>
            </w:tcBorders>
            <w:shd w:fill="F2F6FC" w:color="auto" w:val="clear"/>
            <w:tcMar>
              <w:top w:type="dxa" w:w="60"/>
              <w:left w:type="dxa" w:w="100"/>
              <w:bottom w:type="dxa" w:w="60"/>
              <w:right w:type="dxa" w:w="100"/>
            </w:tcMar>
            <w:vAlign w:val="top"/>
          </w:tcPr>
          <w:p>
            <w:pPr>
              <w:spacing w:after="0"/>
            </w:pPr>
            <w:r>
              <w:rPr>
                <w:rFonts w:ascii="Calibri" w:cs="Calibri" w:eastAsia="Calibri" w:hAnsi="Calibri"/>
                <w:b/>
                <w:bCs/>
                <w:sz w:val="19"/>
                <w:szCs w:val="19"/>
              </w:rPr>
              <w:t xml:space="preserve">Throttling</w:t>
            </w:r>
          </w:p>
        </w:tc>
        <w:tc>
          <w:tcPr>
            <w:tcW w:type="dxa" w:w="66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[Concurrency, rate limits, safe checks]</w:t>
            </w:r>
          </w:p>
        </w:tc>
      </w:tr>
    </w:tbl>
    <w:p>
      <w:pPr>
        <w:pStyle w:val="Heading2"/>
      </w:pPr>
      <w:r>
        <w:rPr>
          <w:rFonts w:ascii="Calibri" w:cs="Calibri" w:eastAsia="Calibri" w:hAnsi="Calibri"/>
        </w:rPr>
        <w:t xml:space="preserve">Appendix D. Raw scanner export</w:t>
      </w:r>
    </w:p>
    <w:p>
      <w:r>
        <w:rPr>
          <w:rFonts w:ascii="Calibri" w:cs="Calibri" w:eastAsia="Calibri" w:hAnsi="Calibri"/>
        </w:rPr>
        <w:t xml:space="preserve">[File name, format and date, if the client asked for it. Supplied separately.]</w:t>
      </w:r>
    </w:p>
    <w:p>
      <w:pPr>
        <w:pStyle w:val="Heading2"/>
        <w:pageBreakBefore/>
      </w:pPr>
      <w:r>
        <w:rPr>
          <w:rFonts w:ascii="Calibri" w:cs="Calibri" w:eastAsia="Calibri" w:hAnsi="Calibri"/>
        </w:rPr>
        <w:t xml:space="preserve">Appendix E. Network assessment additions (optional)</w:t>
      </w:r>
    </w:p>
    <w:p>
      <w:pPr>
        <w:spacing w:after="120"/>
      </w:pPr>
      <w:r>
        <w:rPr>
          <w:rFonts w:ascii="Calibri" w:cs="Calibri" w:eastAsia="Calibri" w:hAnsi="Calibri"/>
          <w:i/>
          <w:iCs/>
          <w:color w:val="5A6A85"/>
        </w:rPr>
        <w:t xml:space="preserve">For a network vulnerability assessment, add these to the sections above.</w:t>
      </w:r>
    </w:p>
    <w:p>
      <w:pPr>
        <w:pStyle w:val="ListParagraph"/>
        <w:numPr>
          <w:ilvl w:val="0"/>
          <w:numId w:val="3"/>
        </w:numPr>
        <w:spacing w:after="60"/>
      </w:pPr>
      <w:r>
        <w:rPr>
          <w:rFonts w:ascii="Calibri" w:cs="Calibri" w:eastAsia="Calibri" w:hAnsi="Calibri"/>
          <w:b/>
          <w:bCs/>
        </w:rPr>
        <w:t xml:space="preserve">Results by network segment: </w:t>
      </w:r>
      <w:r>
        <w:rPr>
          <w:rFonts w:ascii="Calibri" w:cs="Calibri" w:eastAsia="Calibri" w:hAnsi="Calibri"/>
        </w:rPr>
        <w:t xml:space="preserve">group findings by subnet, site or VLAN, so each network owner sees their part.</w:t>
      </w:r>
    </w:p>
    <w:p>
      <w:pPr>
        <w:pStyle w:val="ListParagraph"/>
        <w:numPr>
          <w:ilvl w:val="0"/>
          <w:numId w:val="3"/>
        </w:numPr>
        <w:spacing w:after="60"/>
      </w:pPr>
      <w:r>
        <w:rPr>
          <w:rFonts w:ascii="Calibri" w:cs="Calibri" w:eastAsia="Calibri" w:hAnsi="Calibri"/>
          <w:b/>
          <w:bCs/>
        </w:rPr>
        <w:t xml:space="preserve">Host and service inventory: </w:t>
      </w:r>
      <w:r>
        <w:rPr>
          <w:rFonts w:ascii="Calibri" w:cs="Calibri" w:eastAsia="Calibri" w:hAnsi="Calibri"/>
        </w:rPr>
        <w:t xml:space="preserve">every live host, with open ports and services, compared with what should be running.</w:t>
      </w:r>
    </w:p>
    <w:p>
      <w:pPr>
        <w:pStyle w:val="ListParagraph"/>
        <w:numPr>
          <w:ilvl w:val="0"/>
          <w:numId w:val="3"/>
        </w:numPr>
        <w:spacing w:after="60"/>
      </w:pPr>
      <w:r>
        <w:rPr>
          <w:rFonts w:ascii="Calibri" w:cs="Calibri" w:eastAsia="Calibri" w:hAnsi="Calibri"/>
          <w:b/>
          <w:bCs/>
        </w:rPr>
        <w:t xml:space="preserve">Internal and external views: </w:t>
      </w:r>
      <w:r>
        <w:rPr>
          <w:rFonts w:ascii="Calibri" w:cs="Calibri" w:eastAsia="Calibri" w:hAnsi="Calibri"/>
        </w:rPr>
        <w:t xml:space="preserve">report the external scan and the internal scan separately. A service that is fine inside may be a finding when it faces the internet.</w:t>
      </w:r>
    </w:p>
    <w:p>
      <w:pPr>
        <w:pStyle w:val="ListParagraph"/>
        <w:numPr>
          <w:ilvl w:val="0"/>
          <w:numId w:val="3"/>
        </w:numPr>
        <w:spacing w:after="60"/>
      </w:pPr>
      <w:r>
        <w:rPr>
          <w:rFonts w:ascii="Calibri" w:cs="Calibri" w:eastAsia="Calibri" w:hAnsi="Calibri"/>
          <w:b/>
          <w:bCs/>
        </w:rPr>
        <w:t xml:space="preserve">Segmentation notes: </w:t>
      </w:r>
      <w:r>
        <w:rPr>
          <w:rFonts w:ascii="Calibri" w:cs="Calibri" w:eastAsia="Calibri" w:hAnsi="Calibri"/>
        </w:rPr>
        <w:t xml:space="preserve">if segmentation matters for PCI DSS or CMMC, note which segments could reach each other during the scan.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560"/>
        <w:gridCol w:w="1300"/>
        <w:gridCol w:w="1300"/>
        <w:gridCol w:w="1300"/>
        <w:gridCol w:w="1300"/>
      </w:tblGrid>
      <w:tr>
        <w:trPr>
          <w:cantSplit/>
          <w:tblHeader/>
        </w:trPr>
        <w:tc>
          <w:tcPr>
            <w:tcW w:type="dxa" w:w="26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Segment</w:t>
            </w:r>
          </w:p>
        </w:tc>
        <w:tc>
          <w:tcPr>
            <w:tcW w:type="dxa" w:w="156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Hosts</w:t>
            </w:r>
          </w:p>
        </w:tc>
        <w:tc>
          <w:tcPr>
            <w:tcW w:type="dxa" w:w="13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Critical</w:t>
            </w:r>
          </w:p>
        </w:tc>
        <w:tc>
          <w:tcPr>
            <w:tcW w:type="dxa" w:w="13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High</w:t>
            </w:r>
          </w:p>
        </w:tc>
        <w:tc>
          <w:tcPr>
            <w:tcW w:type="dxa" w:w="13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Medium</w:t>
            </w:r>
          </w:p>
        </w:tc>
        <w:tc>
          <w:tcPr>
            <w:tcW w:type="dxa" w:w="1300"/>
            <w:tcBorders>
              <w:top w:val="single" w:color="C9D3E0" w:sz="4"/>
              <w:left w:val="single" w:color="C9D3E0" w:sz="4"/>
              <w:bottom w:val="single" w:color="C9D3E0" w:sz="4"/>
              <w:right w:val="single" w:color="C9D3E0" w:sz="4"/>
            </w:tcBorders>
            <w:shd w:fill="1B2F5D" w:color="auto" w:val="clear"/>
            <w:tcMar>
              <w:top w:type="dxa" w:w="60"/>
              <w:left w:type="dxa" w:w="100"/>
              <w:bottom w:type="dxa" w:w="60"/>
              <w:right w:type="dxa" w:w="100"/>
            </w:tcMar>
            <w:vAlign w:val="top"/>
          </w:tcPr>
          <w:p>
            <w:pPr>
              <w:spacing w:after="0"/>
            </w:pPr>
            <w:r>
              <w:rPr>
                <w:rFonts w:ascii="Calibri" w:cs="Calibri" w:eastAsia="Calibri" w:hAnsi="Calibri"/>
                <w:b/>
                <w:bCs/>
                <w:color w:val="FFFFFF"/>
                <w:sz w:val="19"/>
                <w:szCs w:val="19"/>
              </w:rPr>
              <w:t xml:space="preserve">Low</w:t>
            </w:r>
          </w:p>
        </w:tc>
      </w:tr>
      <w:tr>
        <w:trPr>
          <w:cantSplit/>
          <w:tblHeader w:val="false"/>
        </w:trPr>
        <w:tc>
          <w:tcPr>
            <w:tcW w:type="dxa" w:w="26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[Server VLAN]</w:t>
            </w:r>
          </w:p>
        </w:tc>
        <w:tc>
          <w:tcPr>
            <w:tcW w:type="dxa" w:w="15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26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[User VLAN]</w:t>
            </w:r>
          </w:p>
        </w:tc>
        <w:tc>
          <w:tcPr>
            <w:tcW w:type="dxa" w:w="15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r>
        <w:trPr>
          <w:cantSplit/>
          <w:tblHeader w:val="false"/>
        </w:trPr>
        <w:tc>
          <w:tcPr>
            <w:tcW w:type="dxa" w:w="26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[External]</w:t>
            </w:r>
          </w:p>
        </w:tc>
        <w:tc>
          <w:tcPr>
            <w:tcW w:type="dxa" w:w="156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c>
          <w:tcPr>
            <w:tcW w:type="dxa" w:w="1300"/>
            <w:tcBorders>
              <w:top w:val="single" w:color="C9D3E0" w:sz="4"/>
              <w:left w:val="single" w:color="C9D3E0" w:sz="4"/>
              <w:bottom w:val="single" w:color="C9D3E0" w:sz="4"/>
              <w:right w:val="single" w:color="C9D3E0" w:sz="4"/>
            </w:tcBorders>
            <w:tcMar>
              <w:top w:type="dxa" w:w="60"/>
              <w:left w:type="dxa" w:w="100"/>
              <w:bottom w:type="dxa" w:w="60"/>
              <w:right w:type="dxa" w:w="100"/>
            </w:tcMar>
            <w:vAlign w:val="top"/>
          </w:tcPr>
          <w:p>
            <w:pPr>
              <w:spacing w:after="0"/>
            </w:pPr>
            <w:r>
              <w:rPr>
                <w:rFonts w:ascii="Calibri" w:cs="Calibri" w:eastAsia="Calibri" w:hAnsi="Calibri"/>
                <w:sz w:val="19"/>
                <w:szCs w:val="19"/>
              </w:rPr>
              <w:t xml:space="preserve">[ ]</w:t>
            </w:r>
          </w:p>
        </w:tc>
      </w:tr>
    </w:tbl>
    <w:sectPr>
      <w:headerReference w:type="default" r:id="rId7"/>
      <w:headerReference w:type="first" r:id="rId8"/>
      <w:footerReference w:type="default" r:id="rId9"/>
      <w:footerReference w:type="first" r:id="rId10"/>
      <w:pgSz w:w="12240" w:h="15840" w:orient="portrait"/>
      <w:pgMar w:top="1300" w:right="1440" w:bottom="1200" w:left="1440" w:header="60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3E0" w:sz="4" w:space="4"/>
      </w:pBdr>
      <w:tabs>
        <w:tab w:val="right" w:pos="9360"/>
      </w:tabs>
    </w:pPr>
    <w:r>
      <w:rPr>
        <w:rFonts w:ascii="Calibri" w:cs="Calibri" w:eastAsia="Calibri" w:hAnsi="Calibri"/>
        <w:color w:val="5A6A85"/>
        <w:sz w:val="14"/>
        <w:szCs w:val="14"/>
      </w:rPr>
      <w:t xml:space="preserve">Template by Invadel</w:t>
    </w:r>
    <w:r>
      <w:rPr>
        <w:rFonts w:ascii="Calibri" w:cs="Calibri" w:eastAsia="Calibri" w:hAnsi="Calibri"/>
        <w:color w:val="5A6A85"/>
        <w:sz w:val="16"/>
        <w:szCs w:val="16"/>
      </w:rPr>
      <w:t xml:space="preserve">	Page </w:t>
    </w:r>
    <w:r>
      <w:rPr>
        <w:rFonts w:ascii="Calibri" w:cs="Calibri" w:eastAsia="Calibri" w:hAnsi="Calibri"/>
        <w:color w:val="5A6A85"/>
        <w:sz w:val="16"/>
        <w:szCs w:val="16"/>
      </w:rPr>
      <w:fldChar w:fldCharType="begin"/>
      <w:instrText xml:space="preserve">PAGE</w:instrText>
      <w:fldChar w:fldCharType="separate"/>
      <w:fldChar w:fldCharType="end"/>
    </w:r>
    <w:r>
      <w:rPr>
        <w:rFonts w:ascii="Calibri" w:cs="Calibri" w:eastAsia="Calibri" w:hAnsi="Calibri"/>
        <w:color w:val="5A6A85"/>
        <w:sz w:val="16"/>
        <w:szCs w:val="16"/>
      </w:rPr>
      <w:t xml:space="preserve"> of </w:t>
    </w:r>
    <w:r>
      <w:rPr>
        <w:rFonts w:ascii="Calibri" w:cs="Calibri" w:eastAsia="Calibri" w:hAnsi="Calibri"/>
        <w:color w:val="5A6A85"/>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A6A85"/>
        <w:sz w:val="14"/>
        <w:szCs w:val="14"/>
      </w:rPr>
      <w:t xml:space="preserve">Template by Invadel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A6A85"/>
        <w:sz w:val="16"/>
        <w:szCs w:val="16"/>
      </w:rPr>
      <w:t xml:space="preserve">[Client name]  |  Vulnerability Assessment Report  |  Confidential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1068D9" w:sz="8" w:space="6"/>
      </w:pBdr>
      <w:spacing w:after="200" w:before="0"/>
      <w:outlineLvl w:val="0"/>
    </w:pPr>
    <w:rPr>
      <w:rFonts w:ascii="Calibri" w:cs="Calibri" w:eastAsia="Calibri" w:hAnsi="Calibri"/>
      <w:b/>
      <w:bCs/>
      <w:color w:val="1B2F5D"/>
      <w:sz w:val="32"/>
      <w:szCs w:val="32"/>
    </w:rPr>
  </w:style>
  <w:style w:type="paragraph" w:styleId="Heading2">
    <w:name w:val="Heading 2"/>
    <w:basedOn w:val="Normal"/>
    <w:next w:val="Normal"/>
    <w:qFormat/>
    <w:pPr>
      <w:keepNext/>
      <w:spacing w:after="100" w:before="280"/>
      <w:outlineLvl w:val="1"/>
    </w:pPr>
    <w:rPr>
      <w:rFonts w:ascii="Calibri" w:cs="Calibri" w:eastAsia="Calibri" w:hAnsi="Calibri"/>
      <w:b/>
      <w:bCs/>
      <w:color w:val="1B2F5D"/>
      <w:sz w:val="25"/>
      <w:szCs w:val="25"/>
    </w:rPr>
  </w:style>
  <w:style w:type="paragraph" w:styleId="Heading3">
    <w:name w:val="Heading 3"/>
    <w:basedOn w:val="Normal"/>
    <w:next w:val="Normal"/>
    <w:qFormat/>
    <w:pPr>
      <w:keepNext/>
      <w:spacing w:after="100" w:before="200"/>
      <w:outlineLvl w:val="2"/>
    </w:pPr>
    <w:rPr>
      <w:rFonts w:ascii="Calibri" w:cs="Calibri" w:eastAsia="Calibri" w:hAnsi="Calibri"/>
      <w:b/>
      <w:bCs/>
      <w:color w:val="1068D9"/>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kdr2ve_keyv2exhuohnoc" Type="http://schemas.openxmlformats.org/officeDocument/2006/relationships/hyperlink" Target="https://invadel.com/blog/vulnerability-assessment-report-template/"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Assessment Report Template</dc:title>
  <dc:creator>Invadel</dc:creator>
  <dc:description>Editable vulnerability assessment report template. Guide: https://invadel.com/blog/vulnerability-assessment-report-template/</dc:description>
  <cp:lastModifiedBy>Invadel</cp:lastModifiedBy>
  <cp:revision>1</cp:revision>
  <dcterms:created xsi:type="dcterms:W3CDTF">2026-09-26T12:53:33.080Z</dcterms:created>
  <dcterms:modified xsi:type="dcterms:W3CDTF">2026-09-26T12:53:33.081Z</dcterms:modified>
</cp:coreProperties>
</file>

<file path=docProps/custom.xml><?xml version="1.0" encoding="utf-8"?>
<Properties xmlns="http://schemas.openxmlformats.org/officeDocument/2006/custom-properties" xmlns:vt="http://schemas.openxmlformats.org/officeDocument/2006/docPropsVTypes"/>
</file>